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0634765625" w:line="240" w:lineRule="auto"/>
        <w:ind w:left="17.58354187011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Welcome to the Housing Maintenance &amp; Repair Dynamic Purchasing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166015625" w:line="240" w:lineRule="auto"/>
        <w:ind w:left="21.95541381835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System (DPS) Registration questionnaire.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79541015625" w:line="240" w:lineRule="auto"/>
        <w:ind w:left="16.0701751708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You will only have to complete this questionnaire once to register on the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7.8405761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Housing Maintenance &amp; Repair DPS. This questionnaire allows you to register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166015625" w:line="240" w:lineRule="auto"/>
        <w:ind w:left="17.247238159179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your planned/reactive maintenance &amp; repair, compliance, whole home retrofit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166015625" w:line="240" w:lineRule="auto"/>
        <w:ind w:left="20.9465026855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and housing portfolio management services with Crown Commercial Service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6.159133911132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(CCS).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2568359375" w:line="240" w:lineRule="auto"/>
        <w:ind w:left="16.742782592773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As part of the registration process, you will be asked to provide information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9465026855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about the types of services you can provide. This information will allow buyers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1660156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to invite you to bid for contracts that are suited to you directly, streamlining the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096908569335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contracting process. This questionnaire should be updated if your business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166015625" w:line="240" w:lineRule="auto"/>
        <w:ind w:left="19.096908569335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changes its service offerings to ensure all opportunities offered are valid.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1.5533447265625"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05126953125"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self certify that your organisation and all members of your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1.282806396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Group of Economic Operators has an Equality and Diversity Policy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that complies with current legislative requirements.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6904296875" w:line="240" w:lineRule="auto"/>
        <w:ind w:left="181.3601684570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on non compliant criteria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885986328125" w:line="240" w:lineRule="auto"/>
        <w:ind w:left="413.76556396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section is evaluated PASS/FAIL. If you answer No, your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416.2877655029297"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organisation will be deemed as non compliant and will therefore be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421.8367004394531"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rejected from the RM6241 DPS.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926635742187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44702148438"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4632568359375"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048217773438"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indicate if, within the past three years, you, your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1660156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organisation or any other person who has powers of representation,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8.25614929199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decision or control in the organisation has breached data protection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1660156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obligations in the UK or anywhere else in the world.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698059082031" w:line="240" w:lineRule="auto"/>
        <w:ind w:left="181.3601684570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on non compliant criteria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pgSz w:h="16840" w:w="11900" w:orient="portrait"/>
          <w:pgMar w:bottom="731.484375" w:top="446.640625" w:left="853.1263732910156" w:right="861.661376953125" w:header="0" w:footer="720"/>
          <w:pgNumType w:start="1"/>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1/82</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on non compliant criteria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89208984375" w:line="242.76040077209473"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section is evaluated PASS/FAIL. If you answer Yes, your organisation will be deemed as non compliant and will therefore be rejected from the RM6241 DPS.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0.9924316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0639648437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provide details </w:t>
      </w:r>
    </w:p>
    <w:tbl>
      <w:tblPr>
        <w:tblStyle w:val="Table1"/>
        <w:tblW w:w="5296.680145263672"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96.680145263672"/>
        <w:tblGridChange w:id="0">
          <w:tblGrid>
            <w:gridCol w:w="5296.680145263672"/>
          </w:tblGrid>
        </w:tblGridChange>
      </w:tblGrid>
      <w:tr>
        <w:trPr>
          <w:cantSplit w:val="0"/>
          <w:trHeight w:val="420.3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4638671875" w:line="240" w:lineRule="auto"/>
        <w:ind w:left="0"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057373046875" w:line="242.7597713470459"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self-certify that your organisation and/or any of your Group of Economic Operators and/or proposed Key Sub-Contractors will comply with the "Supplier Code of Conduct" as detailed in the guidance in the following link?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8.3453369140625" w:line="240" w:lineRule="auto"/>
        <w:ind w:left="0" w:right="0" w:firstLine="0"/>
        <w:jc w:val="left"/>
        <w:rPr>
          <w:rFonts w:ascii="Arial" w:cs="Arial" w:eastAsia="Arial" w:hAnsi="Arial"/>
          <w:b w:val="0"/>
          <w:i w:val="0"/>
          <w:smallCaps w:val="0"/>
          <w:strike w:val="0"/>
          <w:color w:val="0000ee"/>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Supplier Code of Conduct September 2019</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2591552734375" w:line="240"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on non compliant criteria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873779296875" w:line="242.76025772094727"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is a PASS or FAIL question. If you select 'No' to this question, your organisation will be deemed as non compliant and will therefore be rejected from the RM6241 DPS.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0.9924316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324951171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4632568359375" w:line="240" w:lineRule="auto"/>
        <w:ind w:left="0"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048217773438" w:line="242.76068687438965"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accordance with questions 140, 141 and 142 of the standard Selection Questionnaire, please confirm you have all of the required insurances in place by selecting below, and that you agree to provide evidence of each insurance to CCS following your appointment to the DPS.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44.056396484375"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650634765625" w:line="233.2403326034546"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sectPr>
          <w:type w:val="continuous"/>
          <w:pgSz w:h="16840" w:w="11900" w:orient="portrait"/>
          <w:pgMar w:bottom="731.484375" w:top="446.640625" w:left="867.0106506347656" w:right="1626.80908203125" w:header="0" w:footer="720"/>
          <w:cols w:equalWidth="0" w:num="2">
            <w:col w:space="0" w:w="4720"/>
            <w:col w:space="0" w:w="4720"/>
          </w:cols>
        </w:sect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Once you are </w:t>
      </w:r>
      <w:r w:rsidDel="00000000" w:rsidR="00000000" w:rsidRPr="00000000">
        <w:rPr>
          <w:rFonts w:ascii="Arial" w:cs="Arial" w:eastAsia="Arial" w:hAnsi="Arial"/>
          <w:b w:val="1"/>
          <w:i w:val="0"/>
          <w:smallCaps w:val="0"/>
          <w:strike w:val="0"/>
          <w:color w:val="0b0c0c"/>
          <w:sz w:val="14.412734985351562"/>
          <w:szCs w:val="14.412734985351562"/>
          <w:u w:val="none"/>
          <w:shd w:fill="auto" w:val="clear"/>
          <w:vertAlign w:val="baseline"/>
          <w:rtl w:val="0"/>
        </w:rPr>
        <w:t xml:space="preserve">appointed </w:t>
      </w: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only to the DPS, you will be required to provide copies of your insurance certificates. However, if you wish you can upload them below now.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92637634277344"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2/82</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8427734375"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Pr>
        <w:drawing>
          <wp:inline distB="19050" distT="19050" distL="19050" distR="19050">
            <wp:extent cx="266936" cy="266936"/>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66936" cy="266936"/>
                    </a:xfrm>
                    <a:prstGeom prst="rect"/>
                    <a:ln/>
                  </pic:spPr>
                </pic:pic>
              </a:graphicData>
            </a:graphic>
          </wp:inline>
        </w:drawing>
      </w: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279296875" w:line="257.04105377197266" w:lineRule="auto"/>
        <w:ind w:left="20.610198974609375" w:right="5228.6236572265625" w:firstLine="3.8674163818359375"/>
        <w:jc w:val="left"/>
        <w:rPr>
          <w:rFonts w:ascii="Arial" w:cs="Arial" w:eastAsia="Arial" w:hAnsi="Arial"/>
          <w:b w:val="1"/>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It is a legal requirement that all companies hold Employer's (Compulsory) Liability Insurance of £5 million as a minimum. Please note this requirement is not applicable to sole traders.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0090389251709"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5587.977294921875" w:header="0" w:footer="720"/>
          <w:cols w:equalWidth="0" w:num="2">
            <w:col w:space="0" w:w="2680"/>
            <w:col w:space="0" w:w="268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Employer's (Compulsory) Liability Insurance = £5m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34228515625" w:line="239.9023675918579" w:lineRule="auto"/>
        <w:ind w:left="26.495437622070312" w:right="4315.8880615234375" w:firstLine="3.7833404541015625"/>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upload insurance certificate (this is optional, please see guidance note).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9287109375" w:line="240" w:lineRule="auto"/>
        <w:ind w:left="16.226348876953125"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tbl>
      <w:tblPr>
        <w:tblStyle w:val="Table3"/>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66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6974.989013671875" w:header="0" w:footer="720"/>
          <w:cols w:equalWidth="0" w:num="2">
            <w:col w:space="0" w:w="1980"/>
            <w:col w:space="0" w:w="198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Liability Insurance = £1m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0.252685546875" w:line="239.9023675918579" w:lineRule="auto"/>
        <w:ind w:left="26.495437622070312" w:right="4315.8880615234375" w:firstLine="3.7833404541015625"/>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upload insurance certificate (this is optional, please see guidance note).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86767578125" w:line="240" w:lineRule="auto"/>
        <w:ind w:left="16.226348876953125"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tbl>
      <w:tblPr>
        <w:tblStyle w:val="Table5"/>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66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6112.288818359375" w:header="0" w:footer="720"/>
          <w:cols w:equalWidth="0" w:num="2">
            <w:col w:space="0" w:w="2420"/>
            <w:col w:space="0" w:w="242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Professional Indemnity Insurance = £1m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0.2514648437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upload insurance certificate (this is optional, please see guidance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429931640625" w:line="240" w:lineRule="auto"/>
        <w:ind w:left="26.4954376220703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note).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454345703125" w:line="240" w:lineRule="auto"/>
        <w:ind w:left="16.226348876953125"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tbl>
      <w:tblPr>
        <w:tblStyle w:val="Table7"/>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66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048217773438" w:line="240" w:lineRule="auto"/>
        <w:ind w:left="18.424301147460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indicate which of the following VAT codes apply to your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288085937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organisation: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092529296875" w:line="240" w:lineRule="auto"/>
        <w:ind w:left="633.8119506835938"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UK Company - VAT Registered in the UK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08081054688"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Non-EU Company - Not VAT Registered in the UK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34.95300292968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EU Company - VAT Registered in the UK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954895019531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3/82</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NI Company - VAT Registered in the UK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Non-EU Company - VAT Registered in the UK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4.95300292968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EU Company - Not VAT Registered in the UK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111328125" w:line="240" w:lineRule="auto"/>
        <w:ind w:left="633.8119506835938"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UK Company - Not VAT Registered in the UK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46630859375"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045166015625" w:line="240" w:lineRule="auto"/>
        <w:ind w:left="19.26506042480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 have answered No to Q.155 of the standard Selection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Questionnaire (Does your organisation have Cyber Essentials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1.95541381835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Certification?), please confirm below if your response is correct: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708740234375" w:line="240" w:lineRule="auto"/>
        <w:ind w:left="181.3601684570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on non compliant criteria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849365234375" w:line="240" w:lineRule="auto"/>
        <w:ind w:left="413.76556396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section is evaluated as PASS/FAIL. If you answer Yes, your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47119140625" w:line="240" w:lineRule="auto"/>
        <w:ind w:left="416.2877655029297"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organisation will be deemed as non compliant and will therefore be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421.8367004394531"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rejected from the RM6241 DPS.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926025390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Not Applicable - I have Cyber Essentials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08081054688"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Not Applicable - I have Cyber Essentials Plus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234008789062"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 have confirmed that you have Cyber Essentials at Q.155 of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 Selection Questionnaire and/or at question 6. above, please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096908569335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confirm that you are able to provide a copy of your Cyber Essentials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096908569335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certificate following appointment to this DPS.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795410156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section is evaluated as PASS/FAIL. If you answer No, your organisation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4.893188476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will be deemed as non compliant and will therefore be rejected from the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5322265625" w:line="240" w:lineRule="auto"/>
        <w:ind w:left="29.522094726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RM6241DPS.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5975341796875" w:line="240" w:lineRule="auto"/>
        <w:ind w:left="0" w:right="0" w:firstLine="0"/>
        <w:jc w:val="center"/>
        <w:rPr>
          <w:rFonts w:ascii="Arial" w:cs="Arial" w:eastAsia="Arial" w:hAnsi="Arial"/>
          <w:b w:val="0"/>
          <w:i w:val="0"/>
          <w:smallCaps w:val="0"/>
          <w:strike w:val="0"/>
          <w:color w:val="808080"/>
          <w:sz w:val="26.022993723551433"/>
          <w:szCs w:val="26.022993723551433"/>
          <w:u w:val="none"/>
          <w:shd w:fill="auto" w:val="clear"/>
          <w:vertAlign w:val="subscript"/>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bscript"/>
          <w:rtl w:val="0"/>
        </w:rPr>
        <w:t xml:space="preserve">© 2022 NQC Ltd All Rights Reserved. 4/82</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11132812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2431640625" w:line="240" w:lineRule="auto"/>
        <w:ind w:left="17.58354187011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 have answered No to Q.155 and Yes to Q.156 (Cyber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9.0176391601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Essentials Plus), of the standard Selection Questionnaire, please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096908569335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confirm you are able to provide a copy of your Cyber Essentials Plus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096908569335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certification, following appointment to the DPS.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79541015625" w:line="240" w:lineRule="auto"/>
        <w:ind w:left="30.69915771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 selected Yes to Q.155 of the standard Selection Questionnaire, please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5322265625" w:line="240" w:lineRule="auto"/>
        <w:ind w:left="19.6013641357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select Not applicable.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253662109375" w:line="240" w:lineRule="auto"/>
        <w:ind w:left="181.3601684570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on non compliant criteria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904296875" w:line="240" w:lineRule="auto"/>
        <w:ind w:left="413.76556396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section is evaluated as PASS/FAIL. If you answer No, your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416.2877655029297"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organisation will be deemed as non compliant and will therefore be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421.8367004394531"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rejected from the RM6241 DPS.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9309082031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050292968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Not Applicable - I have Cyber Essentials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8212890625" w:line="240" w:lineRule="auto"/>
        <w:ind w:left="18.592453002929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Do the members of your Group of Economic Operators and/or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47119140625" w:line="240" w:lineRule="auto"/>
        <w:ind w:left="22.9643249511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proposed Sub-Contractors agree to have Cyber Essentials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9.096908569335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certification on or before appointment to the DPS, in line with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1.95541381835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Schedule 9 (Cyber Essentials Scheme) of the Terms and Conditions.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659912109375" w:line="240" w:lineRule="auto"/>
        <w:ind w:left="181.3601684570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on non compliant criteria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898193359375" w:line="240" w:lineRule="auto"/>
        <w:ind w:left="427.0492553710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 are not bidding as a Group of Economic Operators and you are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422.0048522949219"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not proposing to use any Sub-Contractors please select Not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417.296676635742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applicable. This section is evaluated as PASS/FAIL. If you answer No,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5322265625" w:line="240" w:lineRule="auto"/>
        <w:ind w:left="413.59741210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your organisation will be deemed as non compliant and will therefore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419.314498901367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be rejected from the RM6241 DPS.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926635742187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4822387695312"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5/82</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Not Applicable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46630859375"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05126953125"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10.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 answered Yes to Q19 of the standard Selection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Questionnaire, Please provide the number of your Group of Economic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Operator members.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79541015625" w:line="240" w:lineRule="auto"/>
        <w:ind w:left="30.69915771484375"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If you selected 'No' to Q.19 of the standard Selection Questionnaire, please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31837463378906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leave blank.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26220703125" w:line="240" w:lineRule="auto"/>
        <w:ind w:left="27.576370239257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Number of Group of Economic Operator members </w:t>
      </w:r>
    </w:p>
    <w:tbl>
      <w:tblPr>
        <w:tblStyle w:val="Table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093994140625"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Group of Economic Operator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1.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635498046875" w:line="240" w:lineRule="auto"/>
        <w:ind w:left="27.576370239257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Group of Economic Operator member 1 </w:t>
      </w:r>
    </w:p>
    <w:tbl>
      <w:tblPr>
        <w:tblStyle w:val="Table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54119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627197265625"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10"/>
        <w:tblW w:w="3771.3323974609375" w:type="dxa"/>
        <w:jc w:val="left"/>
        <w:tblInd w:w="326.160125732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1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or City </w:t>
      </w:r>
    </w:p>
    <w:tbl>
      <w:tblPr>
        <w:tblStyle w:val="Table1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or state </w:t>
      </w:r>
    </w:p>
    <w:tbl>
      <w:tblPr>
        <w:tblStyle w:val="Table1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8427734375"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w:t>
            </w:r>
          </w:p>
        </w:tc>
      </w:tr>
    </w:tbl>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6/82</w:t>
      </w:r>
    </w:p>
    <w:tbl>
      <w:tblPr>
        <w:tblStyle w:val="Table1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1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1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Company registration number </w:t>
      </w:r>
    </w:p>
    <w:tbl>
      <w:tblPr>
        <w:tblStyle w:val="Table1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184417724609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DUNS number </w:t>
      </w:r>
    </w:p>
    <w:tbl>
      <w:tblPr>
        <w:tblStyle w:val="Table1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Registered VAT number </w:t>
      </w:r>
    </w:p>
    <w:tbl>
      <w:tblPr>
        <w:tblStyle w:val="Table1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2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75882720947266" w:lineRule="auto"/>
        <w:ind w:left="20.273895263671875" w:right="5403.1072998046875" w:firstLine="5.0444793701171875"/>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organisation type of Group of Economic Operators member 1.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0.67138671875" w:line="242.01330184936523" w:lineRule="auto"/>
        <w:ind w:left="631.0736083984375" w:right="5013.3831787109375" w:hanging="9.812774658203125"/>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Voluntary, Community and Social Enterprise (VCSE)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2.7313232421875"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Sheltered Workshop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359252929688"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service mutual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None of the above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234008789062" w:line="242.75922775268555" w:lineRule="auto"/>
        <w:ind w:left="25.654678344726562" w:right="5160.4559326171875" w:hanging="0.3363037109375"/>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trading status of Group of Economic Operators member 1.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9.5681762695312"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7/82</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limited company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36230468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company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liability partnership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partnership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Sole trader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19.20700073242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Third sector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36230468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051757812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specify trading status </w:t>
      </w:r>
    </w:p>
    <w:tbl>
      <w:tblPr>
        <w:tblStyle w:val="Table2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Is your Group of Economic Operators member 1 a Small, Medium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 Micro Enterprise (SME)?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740478515625" w:line="240" w:lineRule="auto"/>
        <w:ind w:left="27.33619689941406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Less than 250 employees, and turnover less than €50m or balance sheet less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6.238327026367188"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than €43m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601806640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234008789062"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Group of Economic Operator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2.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6385498046875" w:line="240" w:lineRule="auto"/>
        <w:ind w:left="27.576370239257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Group of Economic Operator member 2 </w:t>
      </w:r>
    </w:p>
    <w:tbl>
      <w:tblPr>
        <w:tblStyle w:val="Table2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54119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625671386719"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8/82</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23"/>
        <w:tblW w:w="3771.3323974609375" w:type="dxa"/>
        <w:jc w:val="left"/>
        <w:tblInd w:w="326.160125732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2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or City </w:t>
      </w:r>
    </w:p>
    <w:tbl>
      <w:tblPr>
        <w:tblStyle w:val="Table2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or state </w:t>
      </w:r>
    </w:p>
    <w:tbl>
      <w:tblPr>
        <w:tblStyle w:val="Table2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2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2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Company registration number </w:t>
      </w:r>
    </w:p>
    <w:tbl>
      <w:tblPr>
        <w:tblStyle w:val="Table2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184417724609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DUNS number </w:t>
      </w:r>
    </w:p>
    <w:tbl>
      <w:tblPr>
        <w:tblStyle w:val="Table3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Registered VAT number </w:t>
      </w:r>
    </w:p>
    <w:tbl>
      <w:tblPr>
        <w:tblStyle w:val="Table3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3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organisation type of Group of Economic </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Operators member 2. </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043701171875" w:line="240" w:lineRule="auto"/>
        <w:ind w:left="621.26083374023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Voluntary, Community and Social Enterprise </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65966796875" w:line="240" w:lineRule="auto"/>
        <w:ind w:left="631.0736083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(VCSE) </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9.4705200195312"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9/82</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Sheltered Workshop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service mutual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None of the above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2431640625"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trading status of Group of Economic Operators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2.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0375976562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limited company </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company </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liability partnership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partnership </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Sole trader </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356201171875" w:line="240" w:lineRule="auto"/>
        <w:ind w:left="619.20700073242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Third sector </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051757812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specify trading status </w:t>
      </w:r>
    </w:p>
    <w:tbl>
      <w:tblPr>
        <w:tblStyle w:val="Table3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Is your Group of Economic Operators member 2 a Small, Medium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 Micro Enterprise (SME)?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74658203125" w:line="240" w:lineRule="auto"/>
        <w:ind w:left="27.33619689941406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Less than 250 employees, and turnover less than €50m or balance sheet less </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238327026367188"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than €43m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602416992187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10/82</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455078125"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Group of Economic Operator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60205078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3. </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6416015625" w:line="240" w:lineRule="auto"/>
        <w:ind w:left="27.576370239257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Group of Economic Operator member 3 </w:t>
      </w:r>
    </w:p>
    <w:tbl>
      <w:tblPr>
        <w:tblStyle w:val="Table3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54119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63330078125"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35"/>
        <w:tblW w:w="3771.3323974609375" w:type="dxa"/>
        <w:jc w:val="left"/>
        <w:tblInd w:w="326.160125732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3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or City </w:t>
      </w:r>
    </w:p>
    <w:tbl>
      <w:tblPr>
        <w:tblStyle w:val="Table3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or state </w:t>
      </w:r>
    </w:p>
    <w:tbl>
      <w:tblPr>
        <w:tblStyle w:val="Table3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3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4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Company registration number </w:t>
      </w:r>
    </w:p>
    <w:tbl>
      <w:tblPr>
        <w:tblStyle w:val="Table4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184417724609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DUNS number </w:t>
      </w:r>
    </w:p>
    <w:tbl>
      <w:tblPr>
        <w:tblStyle w:val="Table4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Registered VAT number </w:t>
      </w:r>
    </w:p>
    <w:tbl>
      <w:tblPr>
        <w:tblStyle w:val="Table4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11/82</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4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20.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organisation type of Group of Economic </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Operators member 3.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23291015625" w:line="240" w:lineRule="auto"/>
        <w:ind w:left="621.26083374023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Voluntary, Community and Social Enterprise </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1943359375" w:line="240" w:lineRule="auto"/>
        <w:ind w:left="631.0736083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(VCSE) </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Sheltered Workshop </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service mutual </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None of the above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3330078125"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21.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trading status of Group of Economic Operators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3. </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2329101562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limited company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company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585449218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liability partnership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partnership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Sole trader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19.20700073242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Third sector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9.4705200195312"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12/82</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0639648437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specify trading status </w:t>
      </w:r>
    </w:p>
    <w:tbl>
      <w:tblPr>
        <w:tblStyle w:val="Table4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22.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Is your Group of Economic Operators member 3 a Small, Medium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 Micro Enterprise (SME)?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74658203125" w:line="240" w:lineRule="auto"/>
        <w:ind w:left="27.33619689941406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Less than 250 employees, and turnover less than €50m or balance sheet less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238327026367188"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than €43m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59204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334716796875"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23.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Group of Economic Operator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4. </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635498046875" w:line="240" w:lineRule="auto"/>
        <w:ind w:left="27.576370239257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Group of Economic Operator member 4 </w:t>
      </w:r>
    </w:p>
    <w:tbl>
      <w:tblPr>
        <w:tblStyle w:val="Table4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54119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724853515625"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47"/>
        <w:tblW w:w="3771.3323974609375" w:type="dxa"/>
        <w:jc w:val="left"/>
        <w:tblInd w:w="326.160125732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4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or City </w:t>
      </w:r>
    </w:p>
    <w:tbl>
      <w:tblPr>
        <w:tblStyle w:val="Table4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or state </w:t>
      </w:r>
    </w:p>
    <w:tbl>
      <w:tblPr>
        <w:tblStyle w:val="Table5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5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13/82</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5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Company registration number </w:t>
      </w:r>
    </w:p>
    <w:tbl>
      <w:tblPr>
        <w:tblStyle w:val="Table5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184417724609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DUNS number </w:t>
      </w:r>
    </w:p>
    <w:tbl>
      <w:tblPr>
        <w:tblStyle w:val="Table5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Registered VAT number </w:t>
      </w:r>
    </w:p>
    <w:tbl>
      <w:tblPr>
        <w:tblStyle w:val="Table5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5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24.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organisation type of Group of Economic </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Operators member 4.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03759765625" w:line="240" w:lineRule="auto"/>
        <w:ind w:left="621.26083374023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Voluntary, Community and Social Enterprise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3544921875" w:line="240" w:lineRule="auto"/>
        <w:ind w:left="631.0736083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(VCSE)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Sheltered Workshop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service mutual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None of the above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36352539062"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25.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trading status of Group of Economic Operators </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4.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23901367187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limited company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1596679688"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company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0" w:right="0" w:firstLine="0"/>
        <w:jc w:val="center"/>
        <w:rPr>
          <w:rFonts w:ascii="Arial" w:cs="Arial" w:eastAsia="Arial" w:hAnsi="Arial"/>
          <w:b w:val="0"/>
          <w:i w:val="0"/>
          <w:smallCaps w:val="0"/>
          <w:strike w:val="0"/>
          <w:color w:val="808080"/>
          <w:sz w:val="26.022993723551433"/>
          <w:szCs w:val="26.022993723551433"/>
          <w:u w:val="none"/>
          <w:shd w:fill="auto" w:val="clear"/>
          <w:vertAlign w:val="superscript"/>
        </w:rPr>
      </w:pP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 2022 N</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Q</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C</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m</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L</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t</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d</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A</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ll </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R</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ia</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ig</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ht</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s</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R</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ty</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es</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er</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ve</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d</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tn</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 </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ership </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14/82</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liability partnership </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partnership </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Sole trader </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19.20700073242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Third sector </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0639648437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specify trading status </w:t>
      </w:r>
    </w:p>
    <w:tbl>
      <w:tblPr>
        <w:tblStyle w:val="Table5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26.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Is your Group of Economic Operators member 4 a Small, Medium </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 Micro Enterprise (SME)?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740478515625" w:line="240" w:lineRule="auto"/>
        <w:ind w:left="27.33619689941406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Less than 250 employees, and turnover less than €50m or balance sheet less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6.238327026367188"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than €43m </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59204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32861328125"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27.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Group of Economic Operator </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5. </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635498046875" w:line="240" w:lineRule="auto"/>
        <w:ind w:left="27.576370239257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Group of Economic Operator member 5 </w:t>
      </w:r>
    </w:p>
    <w:tbl>
      <w:tblPr>
        <w:tblStyle w:val="Table5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54119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7218017578125"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59"/>
        <w:tblW w:w="3771.3323974609375" w:type="dxa"/>
        <w:jc w:val="left"/>
        <w:tblInd w:w="326.160125732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6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w:t>
      </w:r>
      <w:r w:rsidDel="00000000" w:rsidR="00000000" w:rsidRPr="00000000">
        <w:rPr>
          <w:rFonts w:ascii="Arial" w:cs="Arial" w:eastAsia="Arial" w:hAnsi="Arial"/>
          <w:b w:val="0"/>
          <w:i w:val="0"/>
          <w:smallCaps w:val="0"/>
          <w:strike w:val="1"/>
          <w:color w:val="808080"/>
          <w:sz w:val="15.61379623413086"/>
          <w:szCs w:val="15.61379623413086"/>
          <w:u w:val="none"/>
          <w:shd w:fill="auto" w:val="clear"/>
          <w:vertAlign w:val="baseline"/>
          <w:rtl w:val="0"/>
        </w:rPr>
        <w:t xml:space="preserve"> 2022 NQC Ltd All Rights Reserved. </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15/82</w:t>
      </w:r>
    </w:p>
    <w:tbl>
      <w:tblPr>
        <w:tblStyle w:val="Table6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or City </w:t>
      </w:r>
    </w:p>
    <w:tbl>
      <w:tblPr>
        <w:tblStyle w:val="Table6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or state </w:t>
      </w:r>
    </w:p>
    <w:tbl>
      <w:tblPr>
        <w:tblStyle w:val="Table6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6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6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Company registration number </w:t>
      </w:r>
    </w:p>
    <w:tbl>
      <w:tblPr>
        <w:tblStyle w:val="Table6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184417724609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DUNS number </w:t>
      </w:r>
    </w:p>
    <w:tbl>
      <w:tblPr>
        <w:tblStyle w:val="Table6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Registered VAT number </w:t>
      </w:r>
    </w:p>
    <w:tbl>
      <w:tblPr>
        <w:tblStyle w:val="Table6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6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28.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organisation type of Group of Economic </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Operators member 5. </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040649414062" w:line="240" w:lineRule="auto"/>
        <w:ind w:left="621.26083374023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Voluntary, Community and Social Enterprise </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65966796875" w:line="240" w:lineRule="auto"/>
        <w:ind w:left="631.0736083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(VCSE) </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Sheltered Workshop </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service mutual </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4822387695312"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16/82</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None of the above </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455078125"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29.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trading status of Group of Economic Operators </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5. </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0375976562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limited company </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company </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liability partnership </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partnership </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Sole trader </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19.20700073242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Third sector </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051757812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specify trading status </w:t>
      </w:r>
    </w:p>
    <w:tbl>
      <w:tblPr>
        <w:tblStyle w:val="Table7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30.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Is your Group of Economic Operators member 5 a Small, Medium </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 Micro Enterprise (SME)? </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74658203125" w:line="240" w:lineRule="auto"/>
        <w:ind w:left="27.33619689941406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Less than 250 employees, and turnover less than €50m or balance sheet less </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238327026367188"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than €43m </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592651367187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331665039062"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31.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Group of Economic Operator </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6. </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89006042480469"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17/82</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576370239257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Group of Economic Operator member 6 </w:t>
      </w:r>
    </w:p>
    <w:tbl>
      <w:tblPr>
        <w:tblStyle w:val="Table7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54119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73095703125"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72"/>
        <w:tblW w:w="3771.3323974609375" w:type="dxa"/>
        <w:jc w:val="left"/>
        <w:tblInd w:w="326.160125732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7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or City </w:t>
      </w:r>
    </w:p>
    <w:tbl>
      <w:tblPr>
        <w:tblStyle w:val="Table7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or state </w:t>
      </w:r>
    </w:p>
    <w:tbl>
      <w:tblPr>
        <w:tblStyle w:val="Table7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7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7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Company registration number </w:t>
      </w:r>
    </w:p>
    <w:tbl>
      <w:tblPr>
        <w:tblStyle w:val="Table7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184417724609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DUNS number </w:t>
      </w:r>
    </w:p>
    <w:tbl>
      <w:tblPr>
        <w:tblStyle w:val="Table7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Registered VAT number </w:t>
      </w:r>
    </w:p>
    <w:tbl>
      <w:tblPr>
        <w:tblStyle w:val="Table8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8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32.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organisation type of Group of Economic </w:t>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Operators member 6. </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827560424804687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18/82</w:t>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1.26083374023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Voluntary, Community and Social Enterprise </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240" w:lineRule="auto"/>
        <w:ind w:left="631.0736083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(VCSE) </w:t>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Sheltered Workshop </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service mutual </w:t>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None of the above </w:t>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455078125"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33.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trading status of Group of Economic Operators </w:t>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6. </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0375976562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limited company </w:t>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company </w:t>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liability partnership </w:t>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partnership </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Sole trader </w:t>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19.20700073242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Third sector </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w:t>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051757812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specify trading status </w:t>
      </w:r>
    </w:p>
    <w:tbl>
      <w:tblPr>
        <w:tblStyle w:val="Table8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34.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Is your Group of Economic Operators member 6 a Small, Medium </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19/82</w:t>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34.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Is your Group of Economic Operators member 6 a Small, Medium </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 Micro Enterprise (SME)? </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74658203125" w:line="240" w:lineRule="auto"/>
        <w:ind w:left="27.33619689941406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Less than 250 employees, and turnover less than €50m or balance sheet less </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238327026367188"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than €43m </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59204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455078125"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35.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Group of Economic Operator </w:t>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69970703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7. </w:t>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6416015625" w:line="240" w:lineRule="auto"/>
        <w:ind w:left="27.576370239257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Group of Economic Operator member 7 </w:t>
      </w:r>
    </w:p>
    <w:tbl>
      <w:tblPr>
        <w:tblStyle w:val="Table8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54119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71875"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84"/>
        <w:tblW w:w="3771.3323974609375" w:type="dxa"/>
        <w:jc w:val="left"/>
        <w:tblInd w:w="326.160125732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8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or City </w:t>
      </w:r>
    </w:p>
    <w:tbl>
      <w:tblPr>
        <w:tblStyle w:val="Table8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or state </w:t>
      </w:r>
    </w:p>
    <w:tbl>
      <w:tblPr>
        <w:tblStyle w:val="Table8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8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8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Company registration number </w:t>
      </w:r>
    </w:p>
    <w:tbl>
      <w:tblPr>
        <w:tblStyle w:val="Table9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20/82</w:t>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184417724609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DUNS number </w:t>
      </w:r>
    </w:p>
    <w:tbl>
      <w:tblPr>
        <w:tblStyle w:val="Table9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Registered VAT number </w:t>
      </w:r>
    </w:p>
    <w:tbl>
      <w:tblPr>
        <w:tblStyle w:val="Table9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9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36.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organisation type of Group of Economic </w:t>
      </w:r>
    </w:p>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Operators member 7. </w:t>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03759765625" w:line="240" w:lineRule="auto"/>
        <w:ind w:left="621.26083374023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Voluntary, Community and Social Enterprise </w:t>
      </w:r>
    </w:p>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240" w:lineRule="auto"/>
        <w:ind w:left="631.0736083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(VCSE) </w:t>
      </w:r>
    </w:p>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Sheltered Workshop </w:t>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service mutual </w:t>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None of the above </w:t>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3330078125"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37.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trading status of Group of Economic Operators </w:t>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7. </w:t>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0375976562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limited company </w:t>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company </w:t>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liability partnership </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partnership </w:t>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 2022 N</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Q</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C</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L</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td</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tr</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A</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ll</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R</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igh</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ts Reserved. 21/82</w:t>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Sole trader </w:t>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Third sector </w:t>
      </w:r>
    </w:p>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0639648437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specify trading status </w:t>
      </w:r>
    </w:p>
    <w:tbl>
      <w:tblPr>
        <w:tblStyle w:val="Table94"/>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78291702270508"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38.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Is your Group of Economic Operators member 7 a Small, Medium or Micro Enterprise (SME)? </w:t>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8.3251953125" w:line="242.75968551635742" w:lineRule="auto"/>
        <w:ind w:left="0"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Less than 250 employees, and turnover less than €50m or balance sheet less than €43m </w:t>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8.658447265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3330078125" w:line="242.7588272094726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39.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Group of Economic Operator member 8. </w:t>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350708007812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Group of Economic Operator member 8 </w:t>
      </w:r>
    </w:p>
    <w:tbl>
      <w:tblPr>
        <w:tblStyle w:val="Table95"/>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72485351562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96"/>
        <w:tblW w:w="3771.3323974609375" w:type="dxa"/>
        <w:jc w:val="left"/>
        <w:tblInd w:w="312.27584838867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97"/>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or City </w:t>
      </w:r>
    </w:p>
    <w:tbl>
      <w:tblPr>
        <w:tblStyle w:val="Table98"/>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or state </w:t>
      </w:r>
    </w:p>
    <w:tbl>
      <w:tblPr>
        <w:tblStyle w:val="Table99"/>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8427734375"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w:t>
            </w:r>
          </w:p>
        </w:tc>
      </w:tr>
    </w:tbl>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31.484375" w:top="446.640625" w:left="867.0106506347656" w:right="861.661376953125" w:header="0" w:footer="720"/>
          <w:cols w:equalWidth="0" w:num="2">
            <w:col w:space="0" w:w="5100"/>
            <w:col w:space="0" w:w="5100"/>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22/82</w:t>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10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10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10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Company registration number </w:t>
      </w:r>
    </w:p>
    <w:tbl>
      <w:tblPr>
        <w:tblStyle w:val="Table10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184417724609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DUNS number </w:t>
      </w:r>
    </w:p>
    <w:tbl>
      <w:tblPr>
        <w:tblStyle w:val="Table10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Registered VAT number </w:t>
      </w:r>
    </w:p>
    <w:tbl>
      <w:tblPr>
        <w:tblStyle w:val="Table10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10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75882720947266" w:lineRule="auto"/>
        <w:ind w:left="20.273895263671875" w:right="5403.1072998046875" w:hanging="2.3540496826171875"/>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40.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organisation type of Group of Economic Operators member 8. </w:t>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0.69091796875" w:line="241.97908401489258" w:lineRule="auto"/>
        <w:ind w:left="631.0736083984375" w:right="5013.3831787109375" w:hanging="9.812774658203125"/>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Voluntary, Community and Social Enterprise (VCSE) </w:t>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2.783203125"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Sheltered Workshop </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1596679688"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service mutual </w:t>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52221679688"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None of the above </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36352539062" w:line="242.75922775268555" w:lineRule="auto"/>
        <w:ind w:left="25.654678344726562" w:right="5160.4559326171875" w:hanging="7.734832763671875"/>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41.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trading status of Group of Economic Operators member 8. </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0.6906127929688" w:line="240" w:lineRule="auto"/>
        <w:ind w:left="0" w:right="0" w:firstLine="0"/>
        <w:jc w:val="center"/>
        <w:rPr>
          <w:rFonts w:ascii="Arial" w:cs="Arial" w:eastAsia="Arial" w:hAnsi="Arial"/>
          <w:b w:val="0"/>
          <w:i w:val="0"/>
          <w:smallCaps w:val="0"/>
          <w:strike w:val="0"/>
          <w:color w:val="808080"/>
          <w:sz w:val="26.022993723551433"/>
          <w:szCs w:val="26.022993723551433"/>
          <w:u w:val="none"/>
          <w:shd w:fill="auto" w:val="clear"/>
          <w:vertAlign w:val="subscript"/>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limited company </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bscript"/>
          <w:rtl w:val="0"/>
        </w:rPr>
        <w:t xml:space="preserve">© 2022 NQC Ltd All Rights Reserved. 23/82</w:t>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limited company </w:t>
      </w:r>
    </w:p>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company </w:t>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5527343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liability partnership </w:t>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partnership </w:t>
      </w:r>
    </w:p>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Sole trader </w:t>
      </w:r>
    </w:p>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552734375" w:line="240" w:lineRule="auto"/>
        <w:ind w:left="619.20700073242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Third sector </w:t>
      </w:r>
    </w:p>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w:t>
      </w:r>
    </w:p>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247070312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specify trading status </w:t>
      </w:r>
    </w:p>
    <w:tbl>
      <w:tblPr>
        <w:tblStyle w:val="Table10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91984558105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42.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Is your Group of Economic Operators member 8 a Small, Medium </w:t>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 Micro Enterprise (SME)? </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545166015625" w:line="240" w:lineRule="auto"/>
        <w:ind w:left="27.33619689941406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Less than 250 employees, and turnover less than €50m or balance sheet less </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6.238327026367188"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than €43m </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6311035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1596679688"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36352539062" w:line="240" w:lineRule="auto"/>
        <w:ind w:left="17.91984558105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43.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Group of Economic Operator </w:t>
      </w:r>
    </w:p>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9. </w:t>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8338623046875" w:line="240" w:lineRule="auto"/>
        <w:ind w:left="27.576370239257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Group of Economic Operator member 9 </w:t>
      </w:r>
    </w:p>
    <w:tbl>
      <w:tblPr>
        <w:tblStyle w:val="Table10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54119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723327636719"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24/82</w:t>
      </w:r>
    </w:p>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109"/>
        <w:tblW w:w="3771.3323974609375" w:type="dxa"/>
        <w:jc w:val="left"/>
        <w:tblInd w:w="326.160125732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11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or City </w:t>
      </w:r>
    </w:p>
    <w:tbl>
      <w:tblPr>
        <w:tblStyle w:val="Table11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or state </w:t>
      </w:r>
    </w:p>
    <w:tbl>
      <w:tblPr>
        <w:tblStyle w:val="Table11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11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11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Company registration number </w:t>
      </w:r>
    </w:p>
    <w:tbl>
      <w:tblPr>
        <w:tblStyle w:val="Table11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184417724609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DUNS number </w:t>
      </w:r>
    </w:p>
    <w:tbl>
      <w:tblPr>
        <w:tblStyle w:val="Table11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Registered VAT number </w:t>
      </w:r>
    </w:p>
    <w:tbl>
      <w:tblPr>
        <w:tblStyle w:val="Table11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11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91984558105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44.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organisation type of Group of Economic </w:t>
      </w:r>
    </w:p>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Operators member 9. </w:t>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239013671875" w:line="240" w:lineRule="auto"/>
        <w:ind w:left="621.26083374023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Voluntary, Community and Social Enterprise </w:t>
      </w:r>
    </w:p>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9959716796875" w:line="240" w:lineRule="auto"/>
        <w:ind w:left="631.0736083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(VCSE) </w:t>
      </w:r>
    </w:p>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52221679688"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Q</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h</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C</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L</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td</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te</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A</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l</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l R</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igh</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ts</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R</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e</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k</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se</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r</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h</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ve</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d</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25/82</w:t>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Sheltered Workshop </w:t>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service mutual </w:t>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552734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None of the above </w:t>
      </w:r>
    </w:p>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455078125" w:line="240" w:lineRule="auto"/>
        <w:ind w:left="17.91984558105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45.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trading status of Group of Economic Operators </w:t>
      </w:r>
    </w:p>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9. </w:t>
      </w:r>
    </w:p>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2329101562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limited company </w:t>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company </w:t>
      </w:r>
    </w:p>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5527343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liability partnership </w:t>
      </w:r>
    </w:p>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585449218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partnership </w:t>
      </w:r>
    </w:p>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58544921875"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Sole trader </w:t>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49169921875" w:line="240" w:lineRule="auto"/>
        <w:ind w:left="619.20700073242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Third sector </w:t>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585449218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w:t>
      </w:r>
    </w:p>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247070312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specify trading status </w:t>
      </w:r>
    </w:p>
    <w:tbl>
      <w:tblPr>
        <w:tblStyle w:val="Table11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91984558105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46.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Is your Group of Economic Operators member 9 a Small, Medium </w:t>
      </w:r>
    </w:p>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 Micro Enterprise (SME)? </w:t>
      </w:r>
    </w:p>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55126953125" w:line="240" w:lineRule="auto"/>
        <w:ind w:left="27.33619689941406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Less than 250 employees, and turnover less than €50m or balance sheet less </w:t>
      </w:r>
    </w:p>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238327026367188"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than €43m </w:t>
      </w:r>
    </w:p>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631713867187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86122131347656"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26/82</w:t>
      </w:r>
    </w:p>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455078125" w:line="240" w:lineRule="auto"/>
        <w:ind w:left="17.91984558105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47.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Group of Economic Operator </w:t>
      </w:r>
    </w:p>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10. </w:t>
      </w:r>
    </w:p>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8369140625" w:line="240" w:lineRule="auto"/>
        <w:ind w:left="27.576370239257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Group of Economic Operator member 10 </w:t>
      </w:r>
    </w:p>
    <w:tbl>
      <w:tblPr>
        <w:tblStyle w:val="Table12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54119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73095703125"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121"/>
        <w:tblW w:w="3771.3323974609375" w:type="dxa"/>
        <w:jc w:val="left"/>
        <w:tblInd w:w="326.160125732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12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or City </w:t>
      </w:r>
    </w:p>
    <w:tbl>
      <w:tblPr>
        <w:tblStyle w:val="Table12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or state </w:t>
      </w:r>
    </w:p>
    <w:tbl>
      <w:tblPr>
        <w:tblStyle w:val="Table12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12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12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Company registration number </w:t>
      </w:r>
    </w:p>
    <w:tbl>
      <w:tblPr>
        <w:tblStyle w:val="Table12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184417724609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DUNS number </w:t>
      </w:r>
    </w:p>
    <w:tbl>
      <w:tblPr>
        <w:tblStyle w:val="Table12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Registered VAT number </w:t>
      </w:r>
    </w:p>
    <w:tbl>
      <w:tblPr>
        <w:tblStyle w:val="Table12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27/82</w:t>
      </w:r>
    </w:p>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13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91984558105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48.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organisation type of Group of Economic </w:t>
      </w:r>
    </w:p>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Operators member 10. </w:t>
      </w:r>
    </w:p>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23291015625" w:line="240" w:lineRule="auto"/>
        <w:ind w:left="621.26083374023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Voluntary, Community and Social Enterprise </w:t>
      </w:r>
    </w:p>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9990234375" w:line="240" w:lineRule="auto"/>
        <w:ind w:left="631.0736083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(VCSE) </w:t>
      </w:r>
    </w:p>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552734375"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Sheltered Workshop </w:t>
      </w:r>
    </w:p>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service mutual </w:t>
      </w:r>
    </w:p>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552734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None of the above </w:t>
      </w:r>
    </w:p>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3330078125" w:line="240" w:lineRule="auto"/>
        <w:ind w:left="17.91984558105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49.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trading status of Group of Economic Operators </w:t>
      </w:r>
    </w:p>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10. </w:t>
      </w:r>
    </w:p>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2329101562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limited company </w:t>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585449218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company </w:t>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585449218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liability partnership </w:t>
      </w:r>
    </w:p>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52221679688"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partnership </w:t>
      </w:r>
    </w:p>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1596679688"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Sole trader </w:t>
      </w:r>
    </w:p>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52221679688" w:line="240" w:lineRule="auto"/>
        <w:ind w:left="619.20700073242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Third sector </w:t>
      </w:r>
    </w:p>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1596679688"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QC</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th</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L</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td</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All Rights Reserved. 28/82</w:t>
      </w:r>
    </w:p>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w:t>
      </w:r>
    </w:p>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2592773437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specify trading status </w:t>
      </w:r>
    </w:p>
    <w:tbl>
      <w:tblPr>
        <w:tblStyle w:val="Table131"/>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75968551635742"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50.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Is your Group of Economic Operators member 10 a Small, Medium or Micro Enterprise (SME) ? </w:t>
      </w:r>
    </w:p>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8.321533203125" w:line="242.75968551635742" w:lineRule="auto"/>
        <w:ind w:left="0"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Less than 250 employees, and turnover less than €50m or balance sheet less than €43m </w:t>
      </w:r>
    </w:p>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8.658447265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55273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44189453125" w:line="240" w:lineRule="auto"/>
        <w:ind w:left="0"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338134765625" w:line="242.7588272094726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if your organisation has previously been appointed to this DPS, and subsequently removed from this DPS following a Contract Termination? </w:t>
      </w:r>
    </w:p>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0.651855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49169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2.296142578125" w:line="240"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date your contract was terminated. </w:t>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98.3001708984375"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577392578125" w:line="233.2346248626709"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sectPr>
          <w:type w:val="continuous"/>
          <w:pgSz w:h="16840" w:w="11900" w:orient="portrait"/>
          <w:pgMar w:bottom="731.484375" w:top="446.640625" w:left="867.0106506347656" w:right="1649.8974609375" w:header="0" w:footer="720"/>
          <w:cols w:equalWidth="0" w:num="2">
            <w:col w:space="0" w:w="4700"/>
            <w:col w:space="0" w:w="4700"/>
          </w:cols>
        </w:sect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If you cannot provide evidence of self cleaning that is acceptable to CCS, you will be excluded from further participation in this DPS. In this instance CCS will confirm the reasons why. </w:t>
      </w:r>
    </w:p>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9.83398437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Day </w:t>
      </w:r>
    </w:p>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4965820312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(DD) </w:t>
      </w:r>
    </w:p>
    <w:tbl>
      <w:tblPr>
        <w:tblStyle w:val="Table132"/>
        <w:tblW w:w="528.4669494628906"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8.4669494628906"/>
        <w:tblGridChange w:id="0">
          <w:tblGrid>
            <w:gridCol w:w="528.4669494628906"/>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2594242095947"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Month (MM) </w:t>
      </w:r>
    </w:p>
    <w:tbl>
      <w:tblPr>
        <w:tblStyle w:val="Table133"/>
        <w:tblW w:w="528.4669494628906" w:type="dxa"/>
        <w:jc w:val="left"/>
        <w:tblInd w:w="80.84899902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8.4669494628906"/>
        <w:tblGridChange w:id="0">
          <w:tblGrid>
            <w:gridCol w:w="528.4669494628906"/>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Year </w:t>
      </w:r>
    </w:p>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4965820312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(YYYY) </w:t>
      </w:r>
    </w:p>
    <w:tbl>
      <w:tblPr>
        <w:tblStyle w:val="Table134"/>
        <w:tblW w:w="696.6156005859375" w:type="dxa"/>
        <w:jc w:val="left"/>
        <w:tblInd w:w="161.6979980468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6.6156005859375"/>
        <w:tblGridChange w:id="0">
          <w:tblGrid>
            <w:gridCol w:w="696.6156005859375"/>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6840" w:w="11900" w:orient="portrait"/>
          <w:pgMar w:bottom="731.484375" w:top="446.640625" w:left="867.0106506347656" w:right="8414.675903320312" w:header="0" w:footer="720"/>
          <w:cols w:equalWidth="0" w:num="3">
            <w:col w:space="0" w:w="880"/>
            <w:col w:space="0" w:w="880"/>
            <w:col w:space="0" w:w="880"/>
          </w:cols>
        </w:sectPr>
      </w:pPr>
      <w:r w:rsidDel="00000000" w:rsidR="00000000" w:rsidRPr="00000000">
        <w:rPr>
          <w:rtl w:val="0"/>
        </w:rPr>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provide details of the reason for your contract termination. </w:t>
      </w:r>
    </w:p>
    <w:tbl>
      <w:tblPr>
        <w:tblStyle w:val="Table135"/>
        <w:tblW w:w="5296.68014526367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96.680145263672"/>
        <w:tblGridChange w:id="0">
          <w:tblGrid>
            <w:gridCol w:w="5296.680145263672"/>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9035644531" w:line="240" w:lineRule="auto"/>
        <w:ind w:left="18.424301147460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52.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your Companies House registered company </w:t>
      </w:r>
    </w:p>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number. </w:t>
      </w:r>
    </w:p>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0463867187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29/82</w:t>
      </w:r>
    </w:p>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Registered company number </w:t>
      </w:r>
    </w:p>
    <w:tbl>
      <w:tblPr>
        <w:tblStyle w:val="Table13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75968551635742" w:lineRule="auto"/>
        <w:ind w:left="19.096908569335938" w:right="4928.9599609375" w:hanging="0.672607421875"/>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53.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review the answers you have provided in the previous sections of your DPSQ submission and select the following tick box to confirm that the responses provided are correct. </w:t>
      </w:r>
    </w:p>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0.467529296875" w:line="233.2075595855713" w:lineRule="auto"/>
        <w:ind w:left="579.3438720703125" w:right="5472.93212890625" w:hanging="396.2060546875"/>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Please note, you are unable to change responses in previous sections: Equality and Diversity </w:t>
      </w:r>
    </w:p>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46630859375" w:line="240" w:lineRule="auto"/>
        <w:ind w:left="579.1996765136719"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Data Protection </w:t>
      </w:r>
    </w:p>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3.2905578613281"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Supplier Code of Conduct </w:t>
      </w:r>
    </w:p>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0.7850646972656"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Insurances, Cyber Security </w:t>
      </w:r>
    </w:p>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7139282226562"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Group of Economic Operators </w:t>
      </w:r>
    </w:p>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3.2905578613281"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Contract Termination </w:t>
      </w:r>
    </w:p>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3.2905578613281"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Companies House Data </w:t>
      </w:r>
    </w:p>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6173305511475" w:lineRule="auto"/>
        <w:ind w:left="174.9225616455078" w:right="4158.5272216796875" w:firstLine="0.57647705078125"/>
        <w:jc w:val="left"/>
        <w:rPr>
          <w:rFonts w:ascii="Arial" w:cs="Arial" w:eastAsia="Arial" w:hAnsi="Arial"/>
          <w:b w:val="0"/>
          <w:i w:val="0"/>
          <w:smallCaps w:val="0"/>
          <w:strike w:val="0"/>
          <w:color w:val="0b0c0c"/>
          <w:sz w:val="14.412734985351562"/>
          <w:szCs w:val="14.412734985351562"/>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Once you have selected the tick box to confirm the responses provided are correct and you select 'Save and Continue'. </w:t>
      </w:r>
    </w:p>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tl w:val="0"/>
        </w:rPr>
      </w:r>
    </w:p>
    <w:tbl>
      <w:tblPr>
        <w:tblStyle w:val="Table13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tl w:val="0"/>
              </w:rPr>
            </w:r>
          </w:p>
        </w:tc>
      </w:tr>
    </w:tbl>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9263.572998046875" w:header="0" w:footer="720"/>
          <w:cols w:equalWidth="0" w:num="2">
            <w:col w:space="0" w:w="840"/>
            <w:col w:space="0" w:w="8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 Confirm </w:t>
      </w:r>
    </w:p>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0.44189453125" w:line="240" w:lineRule="auto"/>
        <w:ind w:left="0"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2.7588272094726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54.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Are you able to provide your completed</w:t>
      </w:r>
      <w:r w:rsidDel="00000000" w:rsidR="00000000" w:rsidRPr="00000000">
        <w:rPr>
          <w:rFonts w:ascii="Arial" w:cs="Arial" w:eastAsia="Arial" w:hAnsi="Arial"/>
          <w:b w:val="0"/>
          <w:i w:val="0"/>
          <w:smallCaps w:val="0"/>
          <w:strike w:val="0"/>
          <w:color w:val="0b0c0c"/>
          <w:sz w:val="16.814857482910156"/>
          <w:szCs w:val="16.814857482910156"/>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Attachment 3a Financial</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Viability Risk Assessment Tool</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 </w:t>
      </w:r>
    </w:p>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8.3221435546875" w:line="242.7588272094726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read</w:t>
      </w:r>
      <w:r w:rsidDel="00000000" w:rsidR="00000000" w:rsidRPr="00000000">
        <w:rPr>
          <w:rFonts w:ascii="Arial" w:cs="Arial" w:eastAsia="Arial" w:hAnsi="Arial"/>
          <w:b w:val="0"/>
          <w:i w:val="0"/>
          <w:smallCaps w:val="0"/>
          <w:strike w:val="0"/>
          <w:color w:val="0b0c0c"/>
          <w:sz w:val="16.814857482910156"/>
          <w:szCs w:val="16.814857482910156"/>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Attachment 3 Financial Viability Risk Assessment Tool</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Instructions</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before completing. </w:t>
      </w:r>
    </w:p>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8.698730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28564453125" w:line="239.90427017211914"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upload your completed Attachment 3a Financial Viability Risk Assessment Tool, this should also include where applicable your parent company and ultimate parent company information. </w:t>
      </w:r>
    </w:p>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369873046875" w:line="240" w:lineRule="auto"/>
        <w:ind w:left="0"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tbl>
      <w:tblPr>
        <w:tblStyle w:val="Table138"/>
        <w:tblW w:w="3891.438446044922"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36352539062" w:line="242.75922775268555"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55.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Are you able to provide your published accounts as detailed in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Attachment 3 Financial Viability Risk Assessment Tool Instructions</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 </w:t>
      </w:r>
    </w:p>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0.690612792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2857971191406"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upload your accounts. </w:t>
      </w:r>
    </w:p>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527099609375" w:line="240" w:lineRule="auto"/>
        <w:ind w:left="0"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tbl>
      <w:tblPr>
        <w:tblStyle w:val="Table139"/>
        <w:tblW w:w="3891.438446044922"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8427734375"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w:t>
            </w:r>
          </w:p>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88.0331420898438" w:firstLine="0"/>
              <w:jc w:val="right"/>
              <w:rPr>
                <w:rFonts w:ascii="Arial" w:cs="Arial" w:eastAsia="Arial" w:hAnsi="Arial"/>
                <w:b w:val="0"/>
                <w:i w:val="0"/>
                <w:smallCaps w:val="0"/>
                <w:strike w:val="0"/>
                <w:color w:val="616161"/>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16161"/>
                <w:sz w:val="22.82016372680664"/>
                <w:szCs w:val="22.82016372680664"/>
                <w:u w:val="none"/>
                <w:shd w:fill="auto" w:val="clear"/>
                <w:vertAlign w:val="baseline"/>
                <w:rtl w:val="0"/>
              </w:rPr>
              <w:t xml:space="preserve">No file selected </w:t>
            </w:r>
          </w:p>
        </w:tc>
      </w:tr>
    </w:tbl>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31.484375" w:top="446.640625" w:left="867.0106506347656" w:right="861.661376953125" w:header="0" w:footer="720"/>
          <w:cols w:equalWidth="0" w:num="2">
            <w:col w:space="0" w:w="5100"/>
            <w:col w:space="0" w:w="5100"/>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30/82</w:t>
      </w:r>
    </w:p>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140"/>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455078125" w:line="240" w:lineRule="auto"/>
        <w:ind w:left="18.424301147460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56.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Are you able to provide your parent company published accounts </w:t>
      </w:r>
    </w:p>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946502685546875" w:right="0" w:firstLine="0"/>
        <w:jc w:val="left"/>
        <w:rPr>
          <w:rFonts w:ascii="Arial" w:cs="Arial" w:eastAsia="Arial" w:hAnsi="Arial"/>
          <w:b w:val="0"/>
          <w:i w:val="0"/>
          <w:smallCaps w:val="0"/>
          <w:strike w:val="0"/>
          <w:color w:val="0000ee"/>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as detailed in</w:t>
      </w:r>
      <w:r w:rsidDel="00000000" w:rsidR="00000000" w:rsidRPr="00000000">
        <w:rPr>
          <w:rFonts w:ascii="Arial" w:cs="Arial" w:eastAsia="Arial" w:hAnsi="Arial"/>
          <w:b w:val="0"/>
          <w:i w:val="0"/>
          <w:smallCaps w:val="0"/>
          <w:strike w:val="0"/>
          <w:color w:val="0b0c0c"/>
          <w:sz w:val="16.814857482910156"/>
          <w:szCs w:val="16.814857482910156"/>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Attachment 3 Financial Viability Risk Assessment Tool</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p>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30.69915771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Instructions</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 </w:t>
      </w:r>
    </w:p>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94189453125" w:line="240" w:lineRule="auto"/>
        <w:ind w:left="30.69915771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your parent company has been in operation for less than 3 years please </w:t>
      </w:r>
    </w:p>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2.9643249511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provide all available accounts. </w:t>
      </w:r>
    </w:p>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59204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28686523437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upload your parent company accounts. </w:t>
      </w:r>
    </w:p>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5576171875" w:line="240" w:lineRule="auto"/>
        <w:ind w:left="16.226348876953125"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tbl>
      <w:tblPr>
        <w:tblStyle w:val="Table141"/>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491699218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Not Applicable </w:t>
      </w:r>
    </w:p>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3330078125" w:line="240" w:lineRule="auto"/>
        <w:ind w:left="18.424301147460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57.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Are you able to provide your ultimate parent company published </w:t>
      </w:r>
    </w:p>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0.946502685546875" w:right="0" w:firstLine="0"/>
        <w:jc w:val="left"/>
        <w:rPr>
          <w:rFonts w:ascii="Arial" w:cs="Arial" w:eastAsia="Arial" w:hAnsi="Arial"/>
          <w:b w:val="0"/>
          <w:i w:val="0"/>
          <w:smallCaps w:val="0"/>
          <w:strike w:val="0"/>
          <w:color w:val="0000ee"/>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accounts as detailed in</w:t>
      </w:r>
      <w:r w:rsidDel="00000000" w:rsidR="00000000" w:rsidRPr="00000000">
        <w:rPr>
          <w:rFonts w:ascii="Arial" w:cs="Arial" w:eastAsia="Arial" w:hAnsi="Arial"/>
          <w:b w:val="0"/>
          <w:i w:val="0"/>
          <w:smallCaps w:val="0"/>
          <w:strike w:val="0"/>
          <w:color w:val="0b0c0c"/>
          <w:sz w:val="16.814857482910156"/>
          <w:szCs w:val="16.814857482910156"/>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Attachment 3 Financial Viability Risk</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p>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6.742782592773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Assessment Tool Instructions</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 </w:t>
      </w:r>
    </w:p>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935791015625" w:line="240" w:lineRule="auto"/>
        <w:ind w:left="30.69915771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your ultimate parent company has been in operation for less than 3 years </w:t>
      </w:r>
    </w:p>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2.9643249511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all available accounts. </w:t>
      </w:r>
    </w:p>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5923461914062"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2856445312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upload your ultimate parent company accounts. </w:t>
      </w:r>
    </w:p>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49658203125" w:line="240" w:lineRule="auto"/>
        <w:ind w:left="16.226348876953125"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tbl>
      <w:tblPr>
        <w:tblStyle w:val="Table142"/>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1596679688" w:line="240" w:lineRule="auto"/>
        <w:ind w:left="0" w:right="0" w:firstLine="0"/>
        <w:jc w:val="center"/>
        <w:rPr>
          <w:rFonts w:ascii="Arial" w:cs="Arial" w:eastAsia="Arial" w:hAnsi="Arial"/>
          <w:b w:val="0"/>
          <w:i w:val="0"/>
          <w:smallCaps w:val="0"/>
          <w:strike w:val="0"/>
          <w:color w:val="808080"/>
          <w:sz w:val="26.022993723551433"/>
          <w:szCs w:val="26.022993723551433"/>
          <w:u w:val="none"/>
          <w:shd w:fill="auto" w:val="clear"/>
          <w:vertAlign w:val="subscript"/>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Not Applicable </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bscript"/>
          <w:rtl w:val="0"/>
        </w:rPr>
        <w:t xml:space="preserve">© 2022 NQC Ltd All Rights Reserved. 31/82</w:t>
      </w:r>
    </w:p>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Not Applicable </w:t>
      </w:r>
    </w:p>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5361328125" w:line="240" w:lineRule="auto"/>
        <w:ind w:left="18.424301147460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58.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 are bidding as a Group of Economic Operators, are you </w:t>
      </w:r>
    </w:p>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946502685546875" w:right="0" w:firstLine="0"/>
        <w:jc w:val="left"/>
        <w:rPr>
          <w:rFonts w:ascii="Arial" w:cs="Arial" w:eastAsia="Arial" w:hAnsi="Arial"/>
          <w:b w:val="0"/>
          <w:i w:val="0"/>
          <w:smallCaps w:val="0"/>
          <w:strike w:val="0"/>
          <w:color w:val="0000ee"/>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able to provide your completed</w:t>
      </w:r>
      <w:r w:rsidDel="00000000" w:rsidR="00000000" w:rsidRPr="00000000">
        <w:rPr>
          <w:rFonts w:ascii="Arial" w:cs="Arial" w:eastAsia="Arial" w:hAnsi="Arial"/>
          <w:b w:val="0"/>
          <w:i w:val="0"/>
          <w:smallCaps w:val="0"/>
          <w:strike w:val="0"/>
          <w:color w:val="0b0c0c"/>
          <w:sz w:val="16.814857482910156"/>
          <w:szCs w:val="16.814857482910156"/>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Attachment 3a Financial Viability Risk</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p>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742782592773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Assessment Tool</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for each member? </w:t>
      </w:r>
    </w:p>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55126953125" w:line="240" w:lineRule="auto"/>
        <w:ind w:left="29.185791015625" w:right="0" w:firstLine="0"/>
        <w:jc w:val="left"/>
        <w:rPr>
          <w:rFonts w:ascii="Arial" w:cs="Arial" w:eastAsia="Arial" w:hAnsi="Arial"/>
          <w:b w:val="0"/>
          <w:i w:val="0"/>
          <w:smallCaps w:val="0"/>
          <w:strike w:val="0"/>
          <w:color w:val="0000ee"/>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read</w:t>
      </w:r>
      <w:r w:rsidDel="00000000" w:rsidR="00000000" w:rsidRPr="00000000">
        <w:rPr>
          <w:rFonts w:ascii="Arial" w:cs="Arial" w:eastAsia="Arial" w:hAnsi="Arial"/>
          <w:b w:val="0"/>
          <w:i w:val="0"/>
          <w:smallCaps w:val="0"/>
          <w:strike w:val="0"/>
          <w:color w:val="0b0c0c"/>
          <w:sz w:val="16.814857482910156"/>
          <w:szCs w:val="16.814857482910156"/>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Attachment 3 Financial Viability Risk Assessment Tool</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p>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30.69915771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Instructions</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before completing. </w:t>
      </w:r>
    </w:p>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59204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2592773437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upload your completed Attachment 3a Financial Viability Risk </w:t>
      </w:r>
    </w:p>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6513671875" w:line="240" w:lineRule="auto"/>
        <w:ind w:left="16.94702148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Assessment Tool for each member, this should also include where </w:t>
      </w:r>
    </w:p>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5576171875" w:line="240" w:lineRule="auto"/>
        <w:ind w:left="21.4509582519531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applicable their parent company and ultimate parent company </w:t>
      </w:r>
    </w:p>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6513671875" w:line="240" w:lineRule="auto"/>
        <w:ind w:left="25.7747650146484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information. </w:t>
      </w:r>
    </w:p>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5576171875" w:line="240" w:lineRule="auto"/>
        <w:ind w:left="16.226348876953125"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tbl>
      <w:tblPr>
        <w:tblStyle w:val="Table143"/>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3330078125" w:line="240" w:lineRule="auto"/>
        <w:ind w:left="18.424301147460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59.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Are you able to provide published accounts for each member of </w:t>
      </w:r>
    </w:p>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6.238327026367188" w:right="0" w:firstLine="0"/>
        <w:jc w:val="left"/>
        <w:rPr>
          <w:rFonts w:ascii="Arial" w:cs="Arial" w:eastAsia="Arial" w:hAnsi="Arial"/>
          <w:b w:val="0"/>
          <w:i w:val="0"/>
          <w:smallCaps w:val="0"/>
          <w:strike w:val="0"/>
          <w:color w:val="0000ee"/>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 Group of Economic Operators as detailed in</w:t>
      </w:r>
      <w:r w:rsidDel="00000000" w:rsidR="00000000" w:rsidRPr="00000000">
        <w:rPr>
          <w:rFonts w:ascii="Arial" w:cs="Arial" w:eastAsia="Arial" w:hAnsi="Arial"/>
          <w:b w:val="0"/>
          <w:i w:val="0"/>
          <w:smallCaps w:val="0"/>
          <w:strike w:val="0"/>
          <w:color w:val="0b0c0c"/>
          <w:sz w:val="16.814857482910156"/>
          <w:szCs w:val="16.814857482910156"/>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Attachment 3</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p>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9.0176391601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Financial Viability Risk Assessment Tool Instructions</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 </w:t>
      </w:r>
    </w:p>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2329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2856445312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upload the accounts. </w:t>
      </w:r>
    </w:p>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49658203125" w:line="240" w:lineRule="auto"/>
        <w:ind w:left="16.226348876953125"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tbl>
      <w:tblPr>
        <w:tblStyle w:val="Table144"/>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36352539062" w:line="240" w:lineRule="auto"/>
        <w:ind w:left="19.26506042480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60.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Are you able to provide the parent company published accounts </w:t>
      </w:r>
    </w:p>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910934448242188" w:right="0" w:firstLine="0"/>
        <w:jc w:val="left"/>
        <w:rPr>
          <w:rFonts w:ascii="Arial" w:cs="Arial" w:eastAsia="Arial" w:hAnsi="Arial"/>
          <w:b w:val="0"/>
          <w:i w:val="0"/>
          <w:smallCaps w:val="0"/>
          <w:strike w:val="0"/>
          <w:color w:val="0000ee"/>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for each member as detailed in</w:t>
      </w:r>
      <w:r w:rsidDel="00000000" w:rsidR="00000000" w:rsidRPr="00000000">
        <w:rPr>
          <w:rFonts w:ascii="Arial" w:cs="Arial" w:eastAsia="Arial" w:hAnsi="Arial"/>
          <w:b w:val="0"/>
          <w:i w:val="0"/>
          <w:smallCaps w:val="0"/>
          <w:strike w:val="0"/>
          <w:color w:val="0b0c0c"/>
          <w:sz w:val="16.814857482910156"/>
          <w:szCs w:val="16.814857482910156"/>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Attachment 3 Financial Viability Risk</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p>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742782592773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Assessment Tool Instructions</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 </w:t>
      </w:r>
    </w:p>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94189453125" w:line="240" w:lineRule="auto"/>
        <w:ind w:left="30.69915771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your parent company has been in operation for less than 3 years please </w:t>
      </w:r>
    </w:p>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2.9643249511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provide all available accounts. </w:t>
      </w:r>
    </w:p>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592651367187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248596191406"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upload the parent company accounts for each member. </w:t>
      </w:r>
    </w:p>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61322021484375" w:line="240" w:lineRule="auto"/>
        <w:ind w:left="16.226348876953125"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32/82</w:t>
      </w:r>
    </w:p>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226348876953125"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tbl>
      <w:tblPr>
        <w:tblStyle w:val="Table145"/>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552734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Not Applicable </w:t>
      </w:r>
    </w:p>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455078125" w:line="240" w:lineRule="auto"/>
        <w:ind w:left="19.26506042480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61.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Are you able to provide the ultimate parent company published </w:t>
      </w:r>
    </w:p>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946502685546875" w:right="0" w:firstLine="0"/>
        <w:jc w:val="left"/>
        <w:rPr>
          <w:rFonts w:ascii="Arial" w:cs="Arial" w:eastAsia="Arial" w:hAnsi="Arial"/>
          <w:b w:val="0"/>
          <w:i w:val="0"/>
          <w:smallCaps w:val="0"/>
          <w:strike w:val="0"/>
          <w:color w:val="0000ee"/>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accounts for each member as detailed in</w:t>
      </w:r>
      <w:r w:rsidDel="00000000" w:rsidR="00000000" w:rsidRPr="00000000">
        <w:rPr>
          <w:rFonts w:ascii="Arial" w:cs="Arial" w:eastAsia="Arial" w:hAnsi="Arial"/>
          <w:b w:val="0"/>
          <w:i w:val="0"/>
          <w:smallCaps w:val="0"/>
          <w:strike w:val="0"/>
          <w:color w:val="0b0c0c"/>
          <w:sz w:val="16.814857482910156"/>
          <w:szCs w:val="16.814857482910156"/>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Attachment 3 Financial</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p>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Viability Risk Assessment Tool Instructions</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 </w:t>
      </w:r>
    </w:p>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94189453125" w:line="240" w:lineRule="auto"/>
        <w:ind w:left="30.69915771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your ultimate parent company has been in operation for less than 3 years </w:t>
      </w:r>
    </w:p>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2.9643249511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all available accounts. </w:t>
      </w:r>
    </w:p>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59204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2856445312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upload the ultimate parent company accounts for each member. </w:t>
      </w:r>
    </w:p>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49658203125" w:line="240" w:lineRule="auto"/>
        <w:ind w:left="16.226348876953125"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tbl>
      <w:tblPr>
        <w:tblStyle w:val="Table146"/>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491699218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Not Applicable </w:t>
      </w:r>
    </w:p>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4412841796875"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0561523438" w:line="240" w:lineRule="auto"/>
        <w:ind w:left="19.26506042480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62.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if you intend to use a supply chain for this </w:t>
      </w:r>
    </w:p>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9.096908569335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contract. </w:t>
      </w:r>
    </w:p>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584838867187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52221679688"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3.5330200195312"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33/82</w:t>
      </w:r>
    </w:p>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361328125" w:line="240" w:lineRule="auto"/>
        <w:ind w:left="19.26506042480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63.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if you are a new entrant (including a SPV (Special </w:t>
      </w:r>
    </w:p>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9.18579101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Purpose Vehicle) or JV (Joint venture) set up solely for this contract, </w:t>
      </w:r>
    </w:p>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 a Sole Trader) to the market (trading for less than 12 months). </w:t>
      </w:r>
    </w:p>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2329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5.83251953125"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0" w:lineRule="auto"/>
        <w:ind w:left="19.26506042480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64.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you are able to provide your Companies House </w:t>
      </w:r>
    </w:p>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number, to verify your response at question 54. </w:t>
      </w:r>
    </w:p>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935791015625" w:line="240" w:lineRule="auto"/>
        <w:ind w:left="30.69915771484375"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If you fail to provide a response to this question, you will not be able to </w:t>
      </w:r>
    </w:p>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2.964324951171875"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progress with your DPS submission. </w:t>
      </w:r>
    </w:p>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59204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2856445312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confirm your Company Registration number as applicable. </w:t>
      </w:r>
    </w:p>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01483154296875" w:line="240" w:lineRule="auto"/>
        <w:ind w:left="29.185791015625" w:right="0" w:firstLine="0"/>
        <w:jc w:val="left"/>
        <w:rPr>
          <w:rFonts w:ascii="Arial" w:cs="Arial" w:eastAsia="Arial" w:hAnsi="Arial"/>
          <w:b w:val="0"/>
          <w:i w:val="0"/>
          <w:smallCaps w:val="0"/>
          <w:strike w:val="0"/>
          <w:color w:val="6f777b"/>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6f777b"/>
          <w:sz w:val="16.814857482910156"/>
          <w:szCs w:val="16.814857482910156"/>
          <w:u w:val="none"/>
          <w:shd w:fill="auto" w:val="clear"/>
          <w:vertAlign w:val="baseline"/>
          <w:rtl w:val="0"/>
        </w:rPr>
        <w:t xml:space="preserve">Please note CCS will use your Companies Registration number, to undertake </w:t>
      </w:r>
    </w:p>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946502685546875" w:right="0" w:firstLine="0"/>
        <w:jc w:val="left"/>
        <w:rPr>
          <w:rFonts w:ascii="Arial" w:cs="Arial" w:eastAsia="Arial" w:hAnsi="Arial"/>
          <w:b w:val="0"/>
          <w:i w:val="0"/>
          <w:smallCaps w:val="0"/>
          <w:strike w:val="0"/>
          <w:color w:val="6f777b"/>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6f777b"/>
          <w:sz w:val="16.814857482910156"/>
          <w:szCs w:val="16.814857482910156"/>
          <w:u w:val="none"/>
          <w:shd w:fill="auto" w:val="clear"/>
          <w:vertAlign w:val="baseline"/>
          <w:rtl w:val="0"/>
        </w:rPr>
        <w:t xml:space="preserve">a compliance check via Companies House to verify your response at question </w:t>
      </w:r>
    </w:p>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769439697265625" w:right="0" w:firstLine="0"/>
        <w:jc w:val="left"/>
        <w:rPr>
          <w:rFonts w:ascii="Arial" w:cs="Arial" w:eastAsia="Arial" w:hAnsi="Arial"/>
          <w:b w:val="0"/>
          <w:i w:val="0"/>
          <w:smallCaps w:val="0"/>
          <w:strike w:val="0"/>
          <w:color w:val="6f777b"/>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6f777b"/>
          <w:sz w:val="16.814857482910156"/>
          <w:szCs w:val="16.814857482910156"/>
          <w:u w:val="none"/>
          <w:shd w:fill="auto" w:val="clear"/>
          <w:vertAlign w:val="baseline"/>
          <w:rtl w:val="0"/>
        </w:rPr>
        <w:t xml:space="preserve">54. </w:t>
      </w:r>
    </w:p>
    <w:tbl>
      <w:tblPr>
        <w:tblStyle w:val="Table14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6f777b"/>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36352539062" w:line="240" w:lineRule="auto"/>
        <w:ind w:left="19.26506042480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65.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if you are bidding as a SPV (Special Purpose </w:t>
      </w:r>
    </w:p>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Vehicle), JV (Joint venture) set up solely for this DPS or as a Sole </w:t>
      </w:r>
    </w:p>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Trader. </w:t>
      </w:r>
    </w:p>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34/82</w:t>
      </w:r>
    </w:p>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Trader. </w:t>
      </w:r>
    </w:p>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94189453125" w:line="242.75968551635742" w:lineRule="auto"/>
        <w:ind w:left="22.964324951171875" w:right="4890.1129150390625" w:firstLine="7.734832763671875"/>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If you fail to provide a response to this question, you will not be able to progress with your DPS submission. </w:t>
      </w:r>
    </w:p>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8.65844726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2.29736328125" w:line="242.75968551635742" w:lineRule="auto"/>
        <w:ind w:left="15.5657958984375" w:right="4893.828125" w:firstLine="13.6199951171875"/>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date your SPV (Special Purpose Vehicle), JV (Joint venture) or Sole Trader status was set up. </w:t>
      </w:r>
    </w:p>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6845703125" w:line="242.75968551635742" w:lineRule="auto"/>
        <w:ind w:left="20.946502685546875" w:right="4526.041259765625" w:firstLine="8.239288330078125"/>
        <w:jc w:val="left"/>
        <w:rPr>
          <w:rFonts w:ascii="Arial" w:cs="Arial" w:eastAsia="Arial" w:hAnsi="Arial"/>
          <w:b w:val="0"/>
          <w:i w:val="0"/>
          <w:smallCaps w:val="0"/>
          <w:strike w:val="0"/>
          <w:color w:val="6f777b"/>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6f777b"/>
          <w:sz w:val="16.814857482910156"/>
          <w:szCs w:val="16.814857482910156"/>
          <w:u w:val="none"/>
          <w:shd w:fill="auto" w:val="clear"/>
          <w:vertAlign w:val="baseline"/>
          <w:rtl w:val="0"/>
        </w:rPr>
        <w:t xml:space="preserve">Please note, if the date provided is not within the last 12 months you will be required to provide a response to questions 66-70 of this section as applicable. </w:t>
      </w:r>
    </w:p>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Day </w:t>
      </w:r>
    </w:p>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557617187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(DD) </w:t>
      </w:r>
    </w:p>
    <w:tbl>
      <w:tblPr>
        <w:tblStyle w:val="Table148"/>
        <w:tblW w:w="528.4669494628906"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8.4669494628906"/>
        <w:tblGridChange w:id="0">
          <w:tblGrid>
            <w:gridCol w:w="528.4669494628906"/>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Month </w:t>
      </w:r>
    </w:p>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557617187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(MM) </w:t>
      </w:r>
    </w:p>
    <w:tbl>
      <w:tblPr>
        <w:tblStyle w:val="Table149"/>
        <w:tblW w:w="528.4669494628906" w:type="dxa"/>
        <w:jc w:val="left"/>
        <w:tblInd w:w="80.84899902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8.4669494628906"/>
        <w:tblGridChange w:id="0">
          <w:tblGrid>
            <w:gridCol w:w="528.4669494628906"/>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Year </w:t>
      </w:r>
    </w:p>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557617187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(YYYY) </w:t>
      </w:r>
    </w:p>
    <w:tbl>
      <w:tblPr>
        <w:tblStyle w:val="Table150"/>
        <w:tblW w:w="696.6156005859375" w:type="dxa"/>
        <w:jc w:val="left"/>
        <w:tblInd w:w="161.6979980468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6.6156005859375"/>
        <w:tblGridChange w:id="0">
          <w:tblGrid>
            <w:gridCol w:w="696.6156005859375"/>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6840" w:w="11900" w:orient="portrait"/>
          <w:pgMar w:bottom="731.484375" w:top="446.640625" w:left="867.0106506347656" w:right="8414.675903320312" w:header="0" w:footer="720"/>
          <w:cols w:equalWidth="0" w:num="3">
            <w:col w:space="0" w:w="880"/>
            <w:col w:space="0" w:w="880"/>
            <w:col w:space="0" w:w="880"/>
          </w:cols>
        </w:sectPr>
      </w:pPr>
      <w:r w:rsidDel="00000000" w:rsidR="00000000" w:rsidRPr="00000000">
        <w:rPr>
          <w:rtl w:val="0"/>
        </w:rPr>
      </w:r>
    </w:p>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338134765625" w:line="240" w:lineRule="auto"/>
        <w:ind w:left="19.26506042480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66.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that you have systems in place to ensure that </w:t>
      </w:r>
    </w:p>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those in your supply chain are paid within your agreed contractual </w:t>
      </w:r>
    </w:p>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terms. </w:t>
      </w:r>
    </w:p>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464599609375" w:line="240" w:lineRule="auto"/>
        <w:ind w:left="181.3601684570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on non compliant criteria </w:t>
      </w:r>
    </w:p>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2142333984375" w:line="240" w:lineRule="auto"/>
        <w:ind w:left="413.76556396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section is evaluated PASS/FAIL. If you answer No, your </w:t>
      </w:r>
    </w:p>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416.2877655029297"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organisation will be deemed as non compliant and will therefore be </w:t>
      </w:r>
    </w:p>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421.8367004394531"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rejected from the RM6241 DPS. </w:t>
      </w:r>
    </w:p>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93579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1596679688"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36352539062" w:line="240" w:lineRule="auto"/>
        <w:ind w:left="19.26506042480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67.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you have procedures for resolving disputed </w:t>
      </w:r>
    </w:p>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4.982070922851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invoices promptly and effectively with those in your supply chain. </w:t>
      </w:r>
    </w:p>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94189453125" w:line="240" w:lineRule="auto"/>
        <w:ind w:left="26.66358947753906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Not all payments involve an invoice. We advise that this includes situations </w:t>
      </w:r>
    </w:p>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4.8931884765625"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where all payments are due. </w:t>
      </w:r>
    </w:p>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2544250488281" w:line="240" w:lineRule="auto"/>
        <w:ind w:left="181.3601684570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on non compliant criteria </w:t>
      </w:r>
    </w:p>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751708984375" w:line="240" w:lineRule="auto"/>
        <w:ind w:left="413.76556396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section is evaluated PASS/FAIL. If you answer No, your </w:t>
      </w:r>
    </w:p>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416.2877655029297"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organisation will be deemed as non compliant and will therefore be </w:t>
      </w:r>
    </w:p>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3631591796875" w:line="240" w:lineRule="auto"/>
        <w:ind w:left="421.8367004394531"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rejected from the RM6241 DPS. </w:t>
      </w:r>
    </w:p>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35/82</w:t>
      </w:r>
    </w:p>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1.8367004394531"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rejected from the RM6241 DPS. </w:t>
      </w:r>
    </w:p>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93579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552734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44189453125"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361328125" w:line="240" w:lineRule="auto"/>
        <w:ind w:left="19.26506042480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68.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For all contracts entered into pursuant to a procurement carried </w:t>
      </w:r>
    </w:p>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out under the PCR 2015, please confirm you include 30 day payment </w:t>
      </w:r>
    </w:p>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terms in all of your sub-contracts (and you require your supply chain to </w:t>
      </w:r>
    </w:p>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8.25614929199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do so) on all such contracts. </w:t>
      </w:r>
    </w:p>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84912109375" w:line="240" w:lineRule="auto"/>
        <w:ind w:left="181.3601684570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on non compliant criteria </w:t>
      </w:r>
    </w:p>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751708984375" w:line="240" w:lineRule="auto"/>
        <w:ind w:left="413.76556396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section is evaluated PASS/FAIL. If you answer No, your </w:t>
      </w:r>
    </w:p>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416.2877655029297"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organisation will be deemed as non compliant and will therefore be </w:t>
      </w:r>
    </w:p>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421.8367004394531"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rejected from the RM6241 DPS. </w:t>
      </w:r>
    </w:p>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93579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491699218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4412841796875"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0" w:lineRule="auto"/>
        <w:ind w:left="19.26506042480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69.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one of the following statements which apply to your </w:t>
      </w:r>
    </w:p>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organisation. </w:t>
      </w:r>
    </w:p>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94189453125" w:line="240" w:lineRule="auto"/>
        <w:ind w:left="26.66358947753906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Not all payments involve an invoice. We advise that this includes situations </w:t>
      </w:r>
    </w:p>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4.8931884765625"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where all payments are due. </w:t>
      </w:r>
    </w:p>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59265136718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95% or above of all supply chain invoices are paid </w:t>
      </w:r>
    </w:p>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65966796875" w:line="240" w:lineRule="auto"/>
        <w:ind w:left="629.4761657714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in sixty (60) days in at least one of the two </w:t>
      </w:r>
    </w:p>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65966796875" w:line="240" w:lineRule="auto"/>
        <w:ind w:left="626.737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previous six month reporting periods after </w:t>
      </w:r>
    </w:p>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65966796875" w:line="240" w:lineRule="auto"/>
        <w:ind w:left="630.1606750488281"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removing intercompany payments; </w:t>
      </w:r>
    </w:p>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1596679688" w:line="240" w:lineRule="auto"/>
        <w:ind w:left="0" w:right="0" w:firstLine="0"/>
        <w:jc w:val="center"/>
        <w:rPr>
          <w:rFonts w:ascii="Arial" w:cs="Arial" w:eastAsia="Arial" w:hAnsi="Arial"/>
          <w:b w:val="0"/>
          <w:i w:val="0"/>
          <w:smallCaps w:val="0"/>
          <w:strike w:val="0"/>
          <w:color w:val="808080"/>
          <w:sz w:val="26.022993723551433"/>
          <w:szCs w:val="26.022993723551433"/>
          <w:u w:val="none"/>
          <w:shd w:fill="auto" w:val="clear"/>
          <w:vertAlign w:val="subscript"/>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85%-95% of all supply chain invoices are paid in </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bscript"/>
          <w:rtl w:val="0"/>
        </w:rPr>
        <w:t xml:space="preserve">© 2022 NQC Ltd All Rights Reserved. 36/82</w:t>
      </w:r>
    </w:p>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2.85827636718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85%-95% of all supply chain invoices are paid in </w:t>
      </w:r>
    </w:p>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240" w:lineRule="auto"/>
        <w:ind w:left="622.1736145019531"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sixty (60) days in at least one of the two previous </w:t>
      </w:r>
    </w:p>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240" w:lineRule="auto"/>
        <w:ind w:left="622.1736145019531"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six month reporting periods after removing </w:t>
      </w:r>
    </w:p>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240" w:lineRule="auto"/>
        <w:ind w:left="629.4761657714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intercompany payments; </w:t>
      </w:r>
    </w:p>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22.85827636718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85% or less of all supply chain invoices are paid in </w:t>
      </w:r>
    </w:p>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240" w:lineRule="auto"/>
        <w:ind w:left="622.1736145019531"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sixty (60) days in at least one of the two previous </w:t>
      </w:r>
    </w:p>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240" w:lineRule="auto"/>
        <w:ind w:left="622.1736145019531"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six month reporting periods after removing </w:t>
      </w:r>
    </w:p>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240" w:lineRule="auto"/>
        <w:ind w:left="629.4761657714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intercompany paymen </w:t>
      </w:r>
    </w:p>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44189453125"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34423828125"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70.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the percentage of invoices paid by you to those in </w:t>
      </w:r>
    </w:p>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7.247238159179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your immediate supply chain on all contracts within 60 days of the </w:t>
      </w:r>
    </w:p>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486526489257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receipt of the invoice in each of the last two six month periods. This </w:t>
      </w:r>
    </w:p>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6013641357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should include the percentage of invoices paid within each of the </w:t>
      </w:r>
    </w:p>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9109344482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following categories. Please include the total volume of invoices in </w:t>
      </w:r>
    </w:p>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61019897460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each category which should total 95% or above. </w:t>
      </w:r>
    </w:p>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55126953125" w:line="240" w:lineRule="auto"/>
        <w:ind w:left="17.415390014648438"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This should include the percentage of invoices paid within each of the </w:t>
      </w:r>
    </w:p>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6.910934448242188"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following categories. Please include the total volume of invoices in each </w:t>
      </w:r>
    </w:p>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9.096908569335938"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category which should total 95% or above. </w:t>
      </w:r>
    </w:p>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2908935546875" w:line="240" w:lineRule="auto"/>
        <w:ind w:left="17.84774780273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Within 30 days </w:t>
      </w:r>
    </w:p>
    <w:tbl>
      <w:tblPr>
        <w:tblStyle w:val="Table15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9001770019531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In 31 to 60 days </w:t>
      </w:r>
    </w:p>
    <w:tbl>
      <w:tblPr>
        <w:tblStyle w:val="Table15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0561523438"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71.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the percentage of invoices paid by you to those in </w:t>
      </w:r>
    </w:p>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7.247238159179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your immediate supply chain on all contracts within 60 days of the </w:t>
      </w:r>
    </w:p>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486526489257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receipt of the invoice in each of the last two six month periods. This </w:t>
      </w:r>
    </w:p>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6013641357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should include the percentage of invoices paid within each of the </w:t>
      </w:r>
    </w:p>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9109344482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following categories. Please include the total volume of invoices in </w:t>
      </w:r>
    </w:p>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61019897460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each category. </w:t>
      </w:r>
    </w:p>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94189453125" w:line="240" w:lineRule="auto"/>
        <w:ind w:left="17.415390014648438"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This should include the percentage of invoices paid within each of the </w:t>
      </w:r>
    </w:p>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910934448242188"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following categories. Please include the total volume of invoices in each </w:t>
      </w:r>
    </w:p>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096908569335938"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category. </w:t>
      </w:r>
    </w:p>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2522888183594" w:line="240" w:lineRule="auto"/>
        <w:ind w:left="17.84774780273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Within 30 days </w:t>
      </w:r>
    </w:p>
    <w:tbl>
      <w:tblPr>
        <w:tblStyle w:val="Table15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9001770019531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In 31 to 60 days </w:t>
      </w:r>
    </w:p>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37/82</w:t>
      </w:r>
    </w:p>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9001770019531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In 31 to 60 days </w:t>
      </w:r>
    </w:p>
    <w:tbl>
      <w:tblPr>
        <w:tblStyle w:val="Table15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9001770019531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In 61 days or more </w:t>
      </w:r>
    </w:p>
    <w:tbl>
      <w:tblPr>
        <w:tblStyle w:val="Table15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184417724609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Due but not paid by the last date for payment under agreed contractual </w:t>
      </w:r>
    </w:p>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6513671875" w:line="240" w:lineRule="auto"/>
        <w:ind w:left="16.4064788818359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terms </w:t>
      </w:r>
    </w:p>
    <w:tbl>
      <w:tblPr>
        <w:tblStyle w:val="Table156"/>
        <w:tblW w:w="5296.68014526367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96.680145263672"/>
        <w:tblGridChange w:id="0">
          <w:tblGrid>
            <w:gridCol w:w="5296.680145263672"/>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9001770019531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It is acceptable to cross refer to information that has previously been </w:t>
      </w:r>
    </w:p>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6513671875" w:line="240" w:lineRule="auto"/>
        <w:ind w:left="20.00968933105468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submitted to Government or is publicly available (provided it covers the </w:t>
      </w:r>
    </w:p>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5576171875" w:line="240" w:lineRule="auto"/>
        <w:ind w:left="26.31523132324218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requested period), in which case, please provide details and/or insert </w:t>
      </w:r>
    </w:p>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6513671875" w:line="240" w:lineRule="auto"/>
        <w:ind w:left="26.135101318359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link(s): </w:t>
      </w:r>
    </w:p>
    <w:tbl>
      <w:tblPr>
        <w:tblStyle w:val="Table157"/>
        <w:tblW w:w="5296.68014526367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96.680145263672"/>
        <w:tblGridChange w:id="0">
          <w:tblGrid>
            <w:gridCol w:w="5296.680145263672"/>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338134765625"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72.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 are unable to demonstrate that all invoices have been paid </w:t>
      </w:r>
    </w:p>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4.893188476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within the agreed contractual terms, please explain why. </w:t>
      </w:r>
    </w:p>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545166015625" w:line="240" w:lineRule="auto"/>
        <w:ind w:left="30.69915771484375"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If you are required to submit an action plan under question 73, this action plan </w:t>
      </w:r>
    </w:p>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5.65467834472656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must also set out steps to address your payment within agreed terms, in order </w:t>
      </w:r>
    </w:p>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6.238327026367188"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to achieve a pass for question 73. </w:t>
      </w:r>
    </w:p>
    <w:tbl>
      <w:tblPr>
        <w:tblStyle w:val="Table158"/>
        <w:tblW w:w="5296.68014526367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96.680145263672"/>
        <w:tblGridChange w:id="0">
          <w:tblGrid>
            <w:gridCol w:w="5296.680145263672"/>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73.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 are unable to demonstrate that 95% of invoices payable to </w:t>
      </w:r>
    </w:p>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7.247238159179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your supply chain on all contracts have been paid within 60 days of the </w:t>
      </w:r>
    </w:p>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5.486526489257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receipt of the invoice in at least one of the last two (2) six (6) months </w:t>
      </w:r>
    </w:p>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5.486526489257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reporting periods, please upload in response to this question an action </w:t>
      </w:r>
    </w:p>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2.9643249511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plan for improvement which should include (as a minimum) the </w:t>
      </w:r>
    </w:p>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6.9109344482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following. </w:t>
      </w:r>
    </w:p>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5482177734375" w:line="240" w:lineRule="auto"/>
        <w:ind w:left="30.69915771484375"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If you have an existing action plan prepared for a different purpose, it is </w:t>
      </w:r>
    </w:p>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946502685546875"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acceptable to attach this but it should contain the above features. </w:t>
      </w:r>
    </w:p>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103.09906005859375"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1. Identification of the primary causes of failure to pay: </w:t>
      </w:r>
    </w:p>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393.27545166015625"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a. 95% of all supply chain invoices within 60 days; and </w:t>
      </w:r>
    </w:p>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395.29327392578125"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b. If relevant under question 72, all invoices within agreed terms </w:t>
      </w:r>
    </w:p>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91.66496276855469"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2. Actions to address each of these causes </w:t>
      </w:r>
    </w:p>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91.32865905761719"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3. A mechanism for and commitment to regular reporting on progress to the </w:t>
      </w:r>
    </w:p>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323.22959899902344"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bidder's audit committee (or equivalent). </w:t>
      </w:r>
    </w:p>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90.65605163574219"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4. Plan signed off by Director </w:t>
      </w:r>
    </w:p>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91.8330383300781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5. Plan published on its website (this can be shorter, summary plan). </w:t>
      </w:r>
    </w:p>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2913513183594" w:line="240" w:lineRule="auto"/>
        <w:ind w:left="16.226348876953125"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tbl>
      <w:tblPr>
        <w:tblStyle w:val="Table159"/>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38/82</w:t>
      </w:r>
    </w:p>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75968551635742" w:lineRule="auto"/>
        <w:ind w:left="20.946502685546875" w:right="5194.798583984375" w:hanging="2.1858978271484375"/>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74.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 are bidding as a Group of Economic Operators (GoEO), please confirm that all members of your GoEO comply with the responses you have provided in questions 66 - 73 of the DPSQ as applicable. </w:t>
      </w:r>
    </w:p>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0.65063476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552734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286865234375" w:line="239.92674350738525" w:lineRule="auto"/>
        <w:ind w:left="23.612899780273438" w:right="4933.218994140625" w:firstLine="6.6658782958984375"/>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provide full details to support this response in the text box provided below: </w:t>
      </w:r>
    </w:p>
    <w:tbl>
      <w:tblPr>
        <w:tblStyle w:val="Table160"/>
        <w:tblW w:w="5296.68014526367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96.680145263672"/>
        <w:tblGridChange w:id="0">
          <w:tblGrid>
            <w:gridCol w:w="5296.680145263672"/>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Not Applicable </w:t>
      </w:r>
    </w:p>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44189453125"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2.75882720947266" w:lineRule="auto"/>
        <w:ind w:left="16.238327026367188" w:right="4997.2705078125" w:firstLine="2.5222778320312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75.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type of services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that your organisation is able to provide. Tick all that apply. </w:t>
      </w:r>
    </w:p>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16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6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6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6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6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6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6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Compliance </w:t>
      </w:r>
    </w:p>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524169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Housing Portfolio Management </w:t>
      </w:r>
    </w:p>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Planned Maintenance &amp; Repair </w:t>
      </w:r>
    </w:p>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1.9793701171875"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Reactive/Responsive Maintenance &amp; Repair - Emergency </w:t>
      </w:r>
    </w:p>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509765625" w:line="242.0136451721191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Reactive/Responsive Maintenance &amp; Repair - Routine </w:t>
      </w:r>
    </w:p>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4771118164062"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Void/Vacant Management </w:t>
      </w:r>
    </w:p>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527221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Whole Home Retrofit Services </w:t>
      </w:r>
    </w:p>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65966796875" w:line="242.01364517211914" w:lineRule="auto"/>
        <w:ind w:left="0"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Suppliers selecting this service will be asked additional questions on </w:t>
      </w:r>
    </w:p>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24139404296875" w:line="240" w:lineRule="auto"/>
        <w:ind w:left="0"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sectPr>
          <w:type w:val="continuous"/>
          <w:pgSz w:h="16840" w:w="11900" w:orient="portrait"/>
          <w:pgMar w:bottom="731.484375" w:top="446.640625" w:left="987.11669921875" w:right="5661.2042236328125" w:header="0" w:footer="720"/>
          <w:cols w:equalWidth="0" w:num="2">
            <w:col w:space="0" w:w="2640"/>
            <w:col w:space="0" w:w="2640"/>
          </w:cols>
        </w:sect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accreditations/certifications held </w:t>
      </w:r>
    </w:p>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931457519531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39/82</w:t>
      </w:r>
    </w:p>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361328125" w:line="242.75968551635742" w:lineRule="auto"/>
        <w:ind w:left="20.946502685546875" w:right="4945.5780029296875" w:hanging="2.18589782714843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76.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'Compliance'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16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6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7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7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7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7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7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7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7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7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7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Asbestos Removal &amp; Management </w:t>
      </w:r>
    </w:p>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Asbestos Surveys </w:t>
      </w:r>
    </w:p>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Building Condition/Safety Surveys </w:t>
      </w:r>
    </w:p>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5302734375" w:line="242.01330184936523" w:lineRule="auto"/>
        <w:ind w:left="0"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Electrical Testing, Audits &amp; Safety Services </w:t>
      </w: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Including, but not limited to: Installation, Testing &amp; Fault Finding, Certification and </w:t>
      </w:r>
    </w:p>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23681640625" w:line="240" w:lineRule="auto"/>
        <w:ind w:left="0"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Maintenance/Repair </w:t>
      </w:r>
    </w:p>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1.97908401489258"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Fall Protection System Maintenance and Certification </w:t>
      </w:r>
    </w:p>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509765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Fire Risk Assessments </w:t>
      </w:r>
    </w:p>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Fire Safety Services </w:t>
      </w:r>
    </w:p>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3544921875" w:line="242.00474739074707" w:lineRule="auto"/>
        <w:ind w:left="0"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Including, but not limited to, fire safety system services, fire alarms, fire blankets, fire damper systems, extinguishers, shutters, hose reels, smoke alarms, smoke control systems, sprinkler systems </w:t>
      </w:r>
    </w:p>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4853515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Gas Safety Services </w:t>
      </w:r>
    </w:p>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3544921875" w:line="240" w:lineRule="auto"/>
        <w:ind w:left="0"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Includes Audits &amp; Surveys </w:t>
      </w:r>
    </w:p>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527221679688" w:line="242.0136451721191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Invasive Weeds Surveys, Management &amp; Removal </w:t>
      </w:r>
    </w:p>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2398681640625" w:line="242.01364517211914" w:lineRule="auto"/>
        <w:ind w:left="0"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Including Japanese Knot Weed surveys, management, control &amp; removal </w:t>
      </w:r>
    </w:p>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4380493164062" w:line="242.0136451721191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Lifting Operations and Lifting Equipment Regulations (LOLER) </w:t>
      </w:r>
    </w:p>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4772644042969" w:line="242.0136451721191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5408.60595703125" w:header="0" w:footer="720"/>
          <w:cols w:equalWidth="0" w:num="2">
            <w:col w:space="0" w:w="2760"/>
            <w:col w:space="0" w:w="27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Mould Surveys, Management &amp; Remedial Action </w:t>
      </w:r>
    </w:p>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08724975585938"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40/82</w:t>
      </w:r>
    </w:p>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17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8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Radon Gas Surveys &amp; Services </w:t>
      </w:r>
    </w:p>
    <w:p w:rsidR="00000000" w:rsidDel="00000000" w:rsidP="00000000" w:rsidRDefault="00000000" w:rsidRPr="00000000" w14:paraId="00000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2.01330184936523" w:lineRule="auto"/>
        <w:ind w:left="0"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sectPr>
          <w:type w:val="continuous"/>
          <w:pgSz w:h="16840" w:w="11900" w:orient="portrait"/>
          <w:pgMar w:bottom="731.484375" w:top="446.640625" w:left="987.11669921875" w:right="5656.38916015625" w:header="0" w:footer="720"/>
          <w:cols w:equalWidth="0" w:num="2">
            <w:col w:space="0" w:w="2640"/>
            <w:col w:space="0" w:w="26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Water Safety &amp; Hygeine Services &amp; Audits </w:t>
      </w: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Includes Legionella control &amp; risk assessment </w:t>
      </w:r>
    </w:p>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460205078125" w:line="242.75968551635742" w:lineRule="auto"/>
        <w:ind w:left="17.247238159179688" w:right="4935.677490234375" w:firstLine="1.51336669921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77.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'Housing Portfolio Management'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18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7139.69970703125" w:header="0" w:footer="720"/>
          <w:cols w:equalWidth="0" w:num="2">
            <w:col w:space="0" w:w="1900"/>
            <w:col w:space="0" w:w="190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Housing Portfolio Management </w:t>
      </w:r>
    </w:p>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7548828125" w:line="242.75968551635742" w:lineRule="auto"/>
        <w:ind w:left="17.247238159179688" w:right="4959.698486328125" w:firstLine="1.51336669921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78.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'Planned Maintenance &amp; Repair'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18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8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8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8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8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8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8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8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9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9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9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9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Adaptations &amp; Disabled Access Equipment Asbestos Surveys &amp; Management </w:t>
      </w:r>
    </w:p>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2839355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Bathroom Installs </w:t>
      </w:r>
    </w:p>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Brickwork &amp; Masonry </w:t>
      </w:r>
    </w:p>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Chimney Sweeping </w:t>
      </w:r>
    </w:p>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524169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Condition Surveys </w:t>
      </w:r>
    </w:p>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Damp Services - Surveys &amp; Repairs Drainage - Clearing/Cleaning </w:t>
      </w:r>
    </w:p>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290039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Drainage - Repair </w:t>
      </w:r>
    </w:p>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Electrical Services </w:t>
      </w:r>
    </w:p>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65966796875" w:line="242.01364517211914" w:lineRule="auto"/>
        <w:ind w:left="0"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Including, but not limited to: Installation, Testing &amp; Fault Finding, Certification and </w:t>
      </w:r>
    </w:p>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492431640625" w:line="240" w:lineRule="auto"/>
        <w:ind w:left="0"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Maintenance/Repair </w:t>
      </w:r>
    </w:p>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Fascias &amp; Soffits </w:t>
      </w:r>
    </w:p>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5424.6466064453125" w:header="0" w:footer="720"/>
          <w:cols w:equalWidth="0" w:num="2">
            <w:col w:space="0" w:w="2760"/>
            <w:col w:space="0" w:w="27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Fencing &amp; Gates </w:t>
      </w:r>
    </w:p>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9.158020019531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41/82</w:t>
      </w:r>
    </w:p>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19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9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9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9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9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9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0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0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0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0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0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0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0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0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0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0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1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1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1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Finishing Works (Plastering, Rendering) Fire Detection, Prevention &amp; Firefighting Flooring Installation &amp; Repair </w:t>
      </w:r>
    </w:p>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290039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Garage Doors </w:t>
      </w:r>
    </w:p>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Gas Services incl. Heating </w:t>
      </w:r>
    </w:p>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General Building Works </w:t>
      </w:r>
    </w:p>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530273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General Refurbishments </w:t>
      </w:r>
    </w:p>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Groundworks </w:t>
      </w:r>
    </w:p>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3544921875" w:line="242.01330184936523" w:lineRule="auto"/>
        <w:ind w:left="0"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Including, but not limited to, paving, paths, tarmac &amp; concrete </w:t>
      </w:r>
    </w:p>
    <w:p w:rsidR="00000000" w:rsidDel="00000000" w:rsidP="00000000" w:rsidRDefault="00000000" w:rsidRPr="00000000" w14:paraId="00000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438354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Guttering </w:t>
      </w:r>
    </w:p>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Insulation </w:t>
      </w:r>
    </w:p>
    <w:p w:rsidR="00000000" w:rsidDel="00000000" w:rsidP="00000000" w:rsidRDefault="00000000" w:rsidRPr="00000000" w14:paraId="00000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Ironmongery </w:t>
      </w:r>
    </w:p>
    <w:p w:rsidR="00000000" w:rsidDel="00000000" w:rsidP="00000000" w:rsidRDefault="00000000" w:rsidRPr="00000000" w14:paraId="00000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524169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Joinery/Carpentry </w:t>
      </w:r>
    </w:p>
    <w:p w:rsidR="00000000" w:rsidDel="00000000" w:rsidP="00000000" w:rsidRDefault="00000000" w:rsidRPr="00000000" w14:paraId="00000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Kitchen Installs </w:t>
      </w:r>
    </w:p>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Landscaping &amp; Gardening </w:t>
      </w:r>
    </w:p>
    <w:p w:rsidR="00000000" w:rsidDel="00000000" w:rsidP="00000000" w:rsidRDefault="00000000" w:rsidRPr="00000000" w14:paraId="00000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527221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Lift Maintenance </w:t>
      </w:r>
    </w:p>
    <w:p w:rsidR="00000000" w:rsidDel="00000000" w:rsidP="00000000" w:rsidRDefault="00000000" w:rsidRPr="00000000" w14:paraId="00000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Locksmiths </w:t>
      </w:r>
    </w:p>
    <w:p w:rsidR="00000000" w:rsidDel="00000000" w:rsidP="00000000" w:rsidRDefault="00000000" w:rsidRPr="00000000" w14:paraId="00000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Painting &amp; Decorating </w:t>
      </w:r>
    </w:p>
    <w:p w:rsidR="00000000" w:rsidDel="00000000" w:rsidP="00000000" w:rsidRDefault="00000000" w:rsidRPr="00000000" w14:paraId="00000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527221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6010.5145263671875" w:header="0" w:footer="720"/>
          <w:cols w:equalWidth="0" w:num="2">
            <w:col w:space="0" w:w="2460"/>
            <w:col w:space="0" w:w="24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Pest Control </w:t>
      </w:r>
    </w:p>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center"/>
        <w:rPr>
          <w:rFonts w:ascii="Arial" w:cs="Arial" w:eastAsia="Arial" w:hAnsi="Arial"/>
          <w:b w:val="0"/>
          <w:i w:val="0"/>
          <w:smallCaps w:val="0"/>
          <w:strike w:val="0"/>
          <w:color w:val="808080"/>
          <w:sz w:val="26.022993723551433"/>
          <w:szCs w:val="26.022993723551433"/>
          <w:u w:val="none"/>
          <w:shd w:fill="auto" w:val="clear"/>
          <w:vertAlign w:val="subscript"/>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Plumbing </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bscript"/>
          <w:rtl w:val="0"/>
        </w:rPr>
        <w:t xml:space="preserve">© 2022 NQC Ltd All Rights Reserved. 42/82</w:t>
      </w:r>
    </w:p>
    <w:p w:rsidR="00000000" w:rsidDel="00000000" w:rsidP="00000000" w:rsidRDefault="00000000" w:rsidRPr="00000000" w14:paraId="00000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26.022993723551433"/>
          <w:szCs w:val="26.022993723551433"/>
          <w:u w:val="none"/>
          <w:shd w:fill="auto" w:val="clear"/>
          <w:vertAlign w:val="subscript"/>
        </w:rPr>
      </w:pPr>
      <w:r w:rsidDel="00000000" w:rsidR="00000000" w:rsidRPr="00000000">
        <w:rPr>
          <w:rtl w:val="0"/>
        </w:rPr>
      </w:r>
    </w:p>
    <w:tbl>
      <w:tblPr>
        <w:tblStyle w:val="Table21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26.022993723551433"/>
                <w:szCs w:val="26.022993723551433"/>
                <w:u w:val="none"/>
                <w:shd w:fill="auto" w:val="clear"/>
                <w:vertAlign w:val="subscript"/>
              </w:rPr>
            </w:pPr>
            <w:r w:rsidDel="00000000" w:rsidR="00000000" w:rsidRPr="00000000">
              <w:rPr>
                <w:rtl w:val="0"/>
              </w:rPr>
            </w:r>
          </w:p>
        </w:tc>
      </w:tr>
    </w:tbl>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1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1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1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1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1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1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2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2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Plumbing </w:t>
      </w:r>
    </w:p>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Radon Management </w:t>
      </w:r>
    </w:p>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530273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Refrigeration </w:t>
      </w:r>
    </w:p>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Roof Repair </w:t>
      </w:r>
    </w:p>
    <w:p w:rsidR="00000000" w:rsidDel="00000000" w:rsidP="00000000" w:rsidRDefault="00000000" w:rsidRPr="00000000" w14:paraId="00000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240" w:lineRule="auto"/>
        <w:ind w:left="0"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Including pitched and flat roof repair </w:t>
      </w:r>
    </w:p>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5302734375" w:line="242.01330184936523"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Security - Access, Monitoring and Intruder Systems </w:t>
      </w:r>
    </w:p>
    <w:p w:rsidR="00000000" w:rsidDel="00000000" w:rsidP="00000000" w:rsidRDefault="00000000" w:rsidRPr="00000000" w14:paraId="00000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4768066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TV/Comms Installation &amp; Repair </w:t>
      </w:r>
    </w:p>
    <w:p w:rsidR="00000000" w:rsidDel="00000000" w:rsidP="00000000" w:rsidRDefault="00000000" w:rsidRPr="00000000" w14:paraId="00000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UPVC Windows &amp; Doors </w:t>
      </w:r>
    </w:p>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683.913516998291"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Including, but not limited to, composite doors </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Ventilation &amp; Air Conditioning </w:t>
      </w:r>
    </w:p>
    <w:p w:rsidR="00000000" w:rsidDel="00000000" w:rsidP="00000000" w:rsidRDefault="00000000" w:rsidRPr="00000000" w14:paraId="00000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00415039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Water Hygiene Services </w:t>
      </w:r>
    </w:p>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3544921875" w:line="240" w:lineRule="auto"/>
        <w:ind w:left="0"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sectPr>
          <w:type w:val="continuous"/>
          <w:pgSz w:h="16840" w:w="11900" w:orient="portrait"/>
          <w:pgMar w:bottom="731.484375" w:top="446.640625" w:left="987.11669921875" w:right="5471.0736083984375" w:header="0" w:footer="720"/>
          <w:cols w:equalWidth="0" w:num="2">
            <w:col w:space="0" w:w="2740"/>
            <w:col w:space="0" w:w="2740"/>
          </w:cols>
        </w:sect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Including, but not limited to, Legionella Surveys </w:t>
      </w:r>
    </w:p>
    <w:p w:rsidR="00000000" w:rsidDel="00000000" w:rsidP="00000000" w:rsidRDefault="00000000" w:rsidRPr="00000000" w14:paraId="00000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74267578125" w:line="242.75882720947266" w:lineRule="auto"/>
        <w:ind w:left="18.256149291992188" w:right="4959.8638916015625" w:firstLine="0.5044555664062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79.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'Reactive/Responsive Maintenance &amp; Repair - Emergency'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22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2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2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2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2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2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2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13516998291"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Adaptations &amp; Disabled Access Equipment Asbestos Surveys &amp; Management </w:t>
      </w:r>
    </w:p>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00415039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Brickwork &amp; Masonry </w:t>
      </w:r>
    </w:p>
    <w:p w:rsidR="00000000" w:rsidDel="00000000" w:rsidP="00000000" w:rsidRDefault="00000000" w:rsidRPr="00000000" w14:paraId="00000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Drainage - Clearing/Cleaning </w:t>
      </w:r>
    </w:p>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527221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Drainage - Repair </w:t>
      </w:r>
    </w:p>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Electrical Services </w:t>
      </w:r>
    </w:p>
    <w:p w:rsidR="00000000" w:rsidDel="00000000" w:rsidP="00000000" w:rsidRDefault="00000000" w:rsidRPr="00000000" w14:paraId="00000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65966796875" w:line="242.01364517211914" w:lineRule="auto"/>
        <w:ind w:left="0"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Including, but not limited to: Installation, Testing &amp; Fault Finding, Certification and </w:t>
      </w:r>
    </w:p>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24139404296875" w:line="240" w:lineRule="auto"/>
        <w:ind w:left="0"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Maintenance/Repair </w:t>
      </w:r>
    </w:p>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527221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5424.6466064453125" w:header="0" w:footer="720"/>
          <w:cols w:equalWidth="0" w:num="2">
            <w:col w:space="0" w:w="2760"/>
            <w:col w:space="0" w:w="27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Fascias &amp; Soffits </w:t>
      </w:r>
    </w:p>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w:t>
      </w:r>
      <w:r w:rsidDel="00000000" w:rsidR="00000000" w:rsidRPr="00000000">
        <w:rPr>
          <w:rFonts w:ascii="Arial" w:cs="Arial" w:eastAsia="Arial" w:hAnsi="Arial"/>
          <w:b w:val="0"/>
          <w:i w:val="0"/>
          <w:smallCaps w:val="0"/>
          <w:strike w:val="0"/>
          <w:color w:val="808080"/>
          <w:sz w:val="15.61379623413086"/>
          <w:szCs w:val="15.61379623413086"/>
          <w:u w:val="single"/>
          <w:shd w:fill="auto" w:val="clear"/>
          <w:vertAlign w:val="baseline"/>
          <w:rtl w:val="0"/>
        </w:rPr>
        <w:t xml:space="preserve"> 2022 N</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QC Ltd All Rights Reserved. 43/82</w:t>
      </w:r>
    </w:p>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22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3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3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3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3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3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3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3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3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3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3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4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4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4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4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4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4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4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Fascias &amp; Soffits </w:t>
      </w:r>
    </w:p>
    <w:p w:rsidR="00000000" w:rsidDel="00000000" w:rsidP="00000000" w:rsidRDefault="00000000" w:rsidRPr="00000000" w14:paraId="00000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Fencing &amp; Gates </w:t>
      </w:r>
    </w:p>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683.913516998291"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Fire Detection, Prevention &amp; Firefighting Garage Doors </w:t>
      </w:r>
    </w:p>
    <w:p w:rsidR="00000000" w:rsidDel="00000000" w:rsidP="00000000" w:rsidRDefault="00000000" w:rsidRPr="00000000" w14:paraId="00000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9980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Gas Services incl. Heating </w:t>
      </w:r>
    </w:p>
    <w:p w:rsidR="00000000" w:rsidDel="00000000" w:rsidP="00000000" w:rsidRDefault="00000000" w:rsidRPr="00000000" w14:paraId="00000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General Building Works </w:t>
      </w:r>
    </w:p>
    <w:p w:rsidR="00000000" w:rsidDel="00000000" w:rsidP="00000000" w:rsidRDefault="00000000" w:rsidRPr="00000000" w14:paraId="00000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530273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Groundworks </w:t>
      </w:r>
    </w:p>
    <w:p w:rsidR="00000000" w:rsidDel="00000000" w:rsidP="00000000" w:rsidRDefault="00000000" w:rsidRPr="00000000" w14:paraId="00000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242.01330184936523" w:lineRule="auto"/>
        <w:ind w:left="0"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Including, but not limited to, paving, paths, tarmac &amp; concrete </w:t>
      </w:r>
    </w:p>
    <w:p w:rsidR="00000000" w:rsidDel="00000000" w:rsidP="00000000" w:rsidRDefault="00000000" w:rsidRPr="00000000" w14:paraId="00000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4768066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Guttering </w:t>
      </w:r>
    </w:p>
    <w:p w:rsidR="00000000" w:rsidDel="00000000" w:rsidP="00000000" w:rsidRDefault="00000000" w:rsidRPr="00000000" w14:paraId="00000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524169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Joinery/Carpentry </w:t>
      </w:r>
    </w:p>
    <w:p w:rsidR="00000000" w:rsidDel="00000000" w:rsidP="00000000" w:rsidRDefault="00000000" w:rsidRPr="00000000" w14:paraId="00000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Lift Maintenance </w:t>
      </w:r>
    </w:p>
    <w:p w:rsidR="00000000" w:rsidDel="00000000" w:rsidP="00000000" w:rsidRDefault="00000000" w:rsidRPr="00000000" w14:paraId="00000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Locksmiths </w:t>
      </w:r>
    </w:p>
    <w:p w:rsidR="00000000" w:rsidDel="00000000" w:rsidP="00000000" w:rsidRDefault="00000000" w:rsidRPr="00000000" w14:paraId="00000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524169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Pest Control </w:t>
      </w:r>
    </w:p>
    <w:p w:rsidR="00000000" w:rsidDel="00000000" w:rsidP="00000000" w:rsidRDefault="00000000" w:rsidRPr="00000000" w14:paraId="00000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Plumbing </w:t>
      </w:r>
    </w:p>
    <w:p w:rsidR="00000000" w:rsidDel="00000000" w:rsidP="00000000" w:rsidRDefault="00000000" w:rsidRPr="00000000" w14:paraId="00000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524169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Radon Management </w:t>
      </w:r>
    </w:p>
    <w:p w:rsidR="00000000" w:rsidDel="00000000" w:rsidP="00000000" w:rsidRDefault="00000000" w:rsidRPr="00000000" w14:paraId="00000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Refrigeration </w:t>
      </w:r>
    </w:p>
    <w:p w:rsidR="00000000" w:rsidDel="00000000" w:rsidP="00000000" w:rsidRDefault="00000000" w:rsidRPr="00000000" w14:paraId="00000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Roof Repair </w:t>
      </w:r>
    </w:p>
    <w:p w:rsidR="00000000" w:rsidDel="00000000" w:rsidP="00000000" w:rsidRDefault="00000000" w:rsidRPr="00000000" w14:paraId="00000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65966796875" w:line="683.9144325256348"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Including pitched and flat roof repair </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Scaffolding </w:t>
      </w:r>
    </w:p>
    <w:p w:rsidR="00000000" w:rsidDel="00000000" w:rsidP="00000000" w:rsidRDefault="00000000" w:rsidRPr="00000000" w14:paraId="00000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0026245117188" w:line="242.0136451721191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6010.5145263671875" w:header="0" w:footer="720"/>
          <w:cols w:equalWidth="0" w:num="2">
            <w:col w:space="0" w:w="2460"/>
            <w:col w:space="0" w:w="24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Security - Access, Monitoring and Intruder Systems </w:t>
      </w:r>
    </w:p>
    <w:p w:rsidR="00000000" w:rsidDel="00000000" w:rsidP="00000000" w:rsidRDefault="00000000" w:rsidRPr="00000000" w14:paraId="00000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2825622558594"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44/82</w:t>
      </w:r>
    </w:p>
    <w:tbl>
      <w:tblPr>
        <w:tblStyle w:val="Table247"/>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tl w:val="0"/>
        </w:rPr>
      </w:r>
    </w:p>
    <w:p w:rsidR="00000000" w:rsidDel="00000000" w:rsidP="00000000" w:rsidRDefault="00000000" w:rsidRPr="00000000" w14:paraId="00000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4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4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5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UPVC Windows &amp; Doors </w:t>
      </w:r>
    </w:p>
    <w:p w:rsidR="00000000" w:rsidDel="00000000" w:rsidP="00000000" w:rsidRDefault="00000000" w:rsidRPr="00000000" w14:paraId="00000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Including, but not limited to, composite doors </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Ventilation &amp; Air Conditioning </w:t>
      </w:r>
    </w:p>
    <w:p w:rsidR="00000000" w:rsidDel="00000000" w:rsidP="00000000" w:rsidRDefault="00000000" w:rsidRPr="00000000" w14:paraId="00000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290039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Water Hygiene Services </w:t>
      </w:r>
    </w:p>
    <w:p w:rsidR="00000000" w:rsidDel="00000000" w:rsidP="00000000" w:rsidRDefault="00000000" w:rsidRPr="00000000" w14:paraId="00000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240" w:lineRule="auto"/>
        <w:ind w:left="0"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sectPr>
          <w:type w:val="continuous"/>
          <w:pgSz w:h="16840" w:w="11900" w:orient="portrait"/>
          <w:pgMar w:bottom="731.484375" w:top="446.640625" w:left="987.11669921875" w:right="5471.0736083984375" w:header="0" w:footer="720"/>
          <w:cols w:equalWidth="0" w:num="2">
            <w:col w:space="0" w:w="2740"/>
            <w:col w:space="0" w:w="2740"/>
          </w:cols>
        </w:sect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Including, but not limited to, Legionella Surveys </w:t>
      </w:r>
    </w:p>
    <w:p w:rsidR="00000000" w:rsidDel="00000000" w:rsidP="00000000" w:rsidRDefault="00000000" w:rsidRPr="00000000" w14:paraId="00000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41455078125" w:line="242.75968551635742" w:lineRule="auto"/>
        <w:ind w:left="16.238327026367188" w:right="4959.8638916015625" w:firstLine="1.345214843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80.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'Reactive/Responsive Maintenance &amp; Repair - Routine'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25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5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5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5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5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5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5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5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5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6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6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6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6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Adaptations &amp; Disabled Access Equipment Asbestos Surveys &amp; Management </w:t>
      </w:r>
    </w:p>
    <w:p w:rsidR="00000000" w:rsidDel="00000000" w:rsidP="00000000" w:rsidRDefault="00000000" w:rsidRPr="00000000" w14:paraId="00000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189941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Bathroom Installs </w:t>
      </w:r>
    </w:p>
    <w:p w:rsidR="00000000" w:rsidDel="00000000" w:rsidP="00000000" w:rsidRDefault="00000000" w:rsidRPr="00000000" w14:paraId="00000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Brickwork &amp; Masonry </w:t>
      </w:r>
    </w:p>
    <w:p w:rsidR="00000000" w:rsidDel="00000000" w:rsidP="00000000" w:rsidRDefault="00000000" w:rsidRPr="00000000" w14:paraId="00000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Chimney Sweeping </w:t>
      </w:r>
    </w:p>
    <w:p w:rsidR="00000000" w:rsidDel="00000000" w:rsidP="00000000" w:rsidRDefault="00000000" w:rsidRPr="00000000" w14:paraId="00000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Condition Surveys </w:t>
      </w:r>
    </w:p>
    <w:p w:rsidR="00000000" w:rsidDel="00000000" w:rsidP="00000000" w:rsidRDefault="00000000" w:rsidRPr="00000000" w14:paraId="00000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Damp Repair </w:t>
      </w:r>
    </w:p>
    <w:p w:rsidR="00000000" w:rsidDel="00000000" w:rsidP="00000000" w:rsidRDefault="00000000" w:rsidRPr="00000000" w14:paraId="00000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Drainage - Clearing/Cleaning </w:t>
      </w:r>
    </w:p>
    <w:p w:rsidR="00000000" w:rsidDel="00000000" w:rsidP="00000000" w:rsidRDefault="00000000" w:rsidRPr="00000000" w14:paraId="00000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354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Drainage - Repair </w:t>
      </w:r>
    </w:p>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Electrical Services </w:t>
      </w:r>
    </w:p>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65966796875" w:line="242.01364517211914" w:lineRule="auto"/>
        <w:ind w:left="0"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Including, but not limited to: Installation, Testing &amp; Fault Finding, Certification and </w:t>
      </w:r>
    </w:p>
    <w:p w:rsidR="00000000" w:rsidDel="00000000" w:rsidP="00000000" w:rsidRDefault="00000000" w:rsidRPr="00000000" w14:paraId="00000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2398681640625" w:line="240" w:lineRule="auto"/>
        <w:ind w:left="0"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Maintenance/Repair </w:t>
      </w:r>
    </w:p>
    <w:p w:rsidR="00000000" w:rsidDel="00000000" w:rsidP="00000000" w:rsidRDefault="00000000" w:rsidRPr="00000000" w14:paraId="00000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Fascias &amp; Soffits </w:t>
      </w:r>
    </w:p>
    <w:p w:rsidR="00000000" w:rsidDel="00000000" w:rsidP="00000000" w:rsidRDefault="00000000" w:rsidRPr="00000000" w14:paraId="00000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Fencing &amp; Gates </w:t>
      </w:r>
    </w:p>
    <w:p w:rsidR="00000000" w:rsidDel="00000000" w:rsidP="00000000" w:rsidRDefault="00000000" w:rsidRPr="00000000" w14:paraId="00000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5424.6466064453125" w:header="0" w:footer="720"/>
          <w:cols w:equalWidth="0" w:num="2">
            <w:col w:space="0" w:w="2760"/>
            <w:col w:space="0" w:w="27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Finishing Works (Plastering, Rendering) </w:t>
      </w:r>
    </w:p>
    <w:p w:rsidR="00000000" w:rsidDel="00000000" w:rsidP="00000000" w:rsidRDefault="00000000" w:rsidRPr="00000000" w14:paraId="00000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040832519531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45/82</w:t>
      </w:r>
    </w:p>
    <w:tbl>
      <w:tblPr>
        <w:tblStyle w:val="Table264"/>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5.05920410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Fire Detection, Prevention &amp; Firefighting </w:t>
      </w:r>
    </w:p>
    <w:tbl>
      <w:tblPr>
        <w:tblStyle w:val="Table265"/>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tl w:val="0"/>
              </w:rPr>
            </w:r>
          </w:p>
        </w:tc>
      </w:tr>
    </w:tbl>
    <w:p w:rsidR="00000000" w:rsidDel="00000000" w:rsidP="00000000" w:rsidRDefault="00000000" w:rsidRPr="00000000" w14:paraId="00000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5.05920410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Flooring including installation &amp; repair </w:t>
      </w:r>
    </w:p>
    <w:tbl>
      <w:tblPr>
        <w:tblStyle w:val="Table266"/>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tl w:val="0"/>
              </w:rPr>
            </w:r>
          </w:p>
        </w:tc>
      </w:tr>
    </w:tbl>
    <w:p w:rsidR="00000000" w:rsidDel="00000000" w:rsidP="00000000" w:rsidRDefault="00000000" w:rsidRPr="00000000" w14:paraId="00000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4.5619201660156"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Garage Doors </w:t>
      </w:r>
    </w:p>
    <w:tbl>
      <w:tblPr>
        <w:tblStyle w:val="Table267"/>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tl w:val="0"/>
              </w:rPr>
            </w:r>
          </w:p>
        </w:tc>
      </w:tr>
    </w:tbl>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4.5619201660156"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Gas Services incl. Heating </w:t>
      </w:r>
    </w:p>
    <w:tbl>
      <w:tblPr>
        <w:tblStyle w:val="Table268"/>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tl w:val="0"/>
              </w:rPr>
            </w:r>
          </w:p>
        </w:tc>
      </w:tr>
    </w:tbl>
    <w:p w:rsidR="00000000" w:rsidDel="00000000" w:rsidP="00000000" w:rsidRDefault="00000000" w:rsidRPr="00000000" w14:paraId="00000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4.5619201660156"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General Building Works </w:t>
      </w:r>
    </w:p>
    <w:tbl>
      <w:tblPr>
        <w:tblStyle w:val="Table269"/>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tl w:val="0"/>
              </w:rPr>
            </w:r>
          </w:p>
        </w:tc>
      </w:tr>
    </w:tbl>
    <w:p w:rsidR="00000000" w:rsidDel="00000000" w:rsidP="00000000" w:rsidRDefault="00000000" w:rsidRPr="00000000" w14:paraId="00000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4.5619201660156"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Groundworks </w:t>
      </w:r>
    </w:p>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240" w:lineRule="auto"/>
        <w:ind w:left="757.3411560058594"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Including, but not limited to, paving, paths, </w:t>
      </w:r>
    </w:p>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240" w:lineRule="auto"/>
        <w:ind w:left="737.7159118652344"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tarmac &amp; concrete </w:t>
      </w:r>
    </w:p>
    <w:tbl>
      <w:tblPr>
        <w:tblStyle w:val="Table270"/>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pPr>
            <w:r w:rsidDel="00000000" w:rsidR="00000000" w:rsidRPr="00000000">
              <w:rPr>
                <w:rtl w:val="0"/>
              </w:rPr>
            </w:r>
          </w:p>
        </w:tc>
      </w:tr>
    </w:tbl>
    <w:p w:rsidR="00000000" w:rsidDel="00000000" w:rsidP="00000000" w:rsidRDefault="00000000" w:rsidRPr="00000000" w14:paraId="00000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4.5619201660156"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Guttering </w:t>
      </w:r>
    </w:p>
    <w:tbl>
      <w:tblPr>
        <w:tblStyle w:val="Table271"/>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tl w:val="0"/>
              </w:rPr>
            </w:r>
          </w:p>
        </w:tc>
      </w:tr>
    </w:tbl>
    <w:p w:rsidR="00000000" w:rsidDel="00000000" w:rsidP="00000000" w:rsidRDefault="00000000" w:rsidRPr="00000000" w14:paraId="00000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7.34115600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Insulation </w:t>
      </w:r>
    </w:p>
    <w:tbl>
      <w:tblPr>
        <w:tblStyle w:val="Table272"/>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tl w:val="0"/>
              </w:rPr>
            </w:r>
          </w:p>
        </w:tc>
      </w:tr>
    </w:tbl>
    <w:p w:rsidR="00000000" w:rsidDel="00000000" w:rsidP="00000000" w:rsidRDefault="00000000" w:rsidRPr="00000000" w14:paraId="00000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7.34115600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Ironmongery </w:t>
      </w:r>
    </w:p>
    <w:tbl>
      <w:tblPr>
        <w:tblStyle w:val="Table273"/>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tl w:val="0"/>
              </w:rPr>
            </w:r>
          </w:p>
        </w:tc>
      </w:tr>
    </w:tbl>
    <w:p w:rsidR="00000000" w:rsidDel="00000000" w:rsidP="00000000" w:rsidRDefault="00000000" w:rsidRPr="00000000" w14:paraId="00000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4004211425781"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Joinery/Carpentry </w:t>
      </w:r>
    </w:p>
    <w:tbl>
      <w:tblPr>
        <w:tblStyle w:val="Table274"/>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tl w:val="0"/>
              </w:rPr>
            </w:r>
          </w:p>
        </w:tc>
      </w:tr>
    </w:tbl>
    <w:p w:rsidR="00000000" w:rsidDel="00000000" w:rsidP="00000000" w:rsidRDefault="00000000" w:rsidRPr="00000000" w14:paraId="00000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2.5489807128906"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Kitchen Installs </w:t>
      </w:r>
    </w:p>
    <w:tbl>
      <w:tblPr>
        <w:tblStyle w:val="Table275"/>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tl w:val="0"/>
              </w:rPr>
            </w:r>
          </w:p>
        </w:tc>
      </w:tr>
    </w:tbl>
    <w:p w:rsidR="00000000" w:rsidDel="00000000" w:rsidP="00000000" w:rsidRDefault="00000000" w:rsidRPr="00000000" w14:paraId="00000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2.777099609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Landscaping &amp; Gardening </w:t>
      </w:r>
    </w:p>
    <w:tbl>
      <w:tblPr>
        <w:tblStyle w:val="Table276"/>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tl w:val="0"/>
              </w:rPr>
            </w:r>
          </w:p>
        </w:tc>
      </w:tr>
    </w:tbl>
    <w:p w:rsidR="00000000" w:rsidDel="00000000" w:rsidP="00000000" w:rsidRDefault="00000000" w:rsidRPr="00000000" w14:paraId="00000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2.777099609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Lift Maintenance </w:t>
      </w:r>
    </w:p>
    <w:tbl>
      <w:tblPr>
        <w:tblStyle w:val="Table277"/>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tl w:val="0"/>
              </w:rPr>
            </w:r>
          </w:p>
        </w:tc>
      </w:tr>
    </w:tbl>
    <w:p w:rsidR="00000000" w:rsidDel="00000000" w:rsidP="00000000" w:rsidRDefault="00000000" w:rsidRPr="00000000" w14:paraId="00000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2.777099609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Locksmiths </w:t>
      </w:r>
    </w:p>
    <w:tbl>
      <w:tblPr>
        <w:tblStyle w:val="Table278"/>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tl w:val="0"/>
              </w:rPr>
            </w:r>
          </w:p>
        </w:tc>
      </w:tr>
    </w:tbl>
    <w:p w:rsidR="00000000" w:rsidDel="00000000" w:rsidP="00000000" w:rsidRDefault="00000000" w:rsidRPr="00000000" w14:paraId="00000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5.287322998046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Painting &amp; Decorating </w:t>
      </w:r>
    </w:p>
    <w:tbl>
      <w:tblPr>
        <w:tblStyle w:val="Table279"/>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tl w:val="0"/>
              </w:rPr>
            </w:r>
          </w:p>
        </w:tc>
      </w:tr>
    </w:tbl>
    <w:p w:rsidR="00000000" w:rsidDel="00000000" w:rsidP="00000000" w:rsidRDefault="00000000" w:rsidRPr="00000000" w14:paraId="00000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5.287322998046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Pest Control </w:t>
      </w:r>
    </w:p>
    <w:tbl>
      <w:tblPr>
        <w:tblStyle w:val="Table280"/>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tl w:val="0"/>
              </w:rPr>
            </w:r>
          </w:p>
        </w:tc>
      </w:tr>
    </w:tbl>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5.287322998046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Plumbing </w:t>
      </w:r>
    </w:p>
    <w:tbl>
      <w:tblPr>
        <w:tblStyle w:val="Table281"/>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tl w:val="0"/>
              </w:rPr>
            </w:r>
          </w:p>
        </w:tc>
      </w:tr>
    </w:tbl>
    <w:p w:rsidR="00000000" w:rsidDel="00000000" w:rsidP="00000000" w:rsidRDefault="00000000" w:rsidRPr="00000000" w14:paraId="00000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5.743713378906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Radon Management </w:t>
      </w:r>
    </w:p>
    <w:tbl>
      <w:tblPr>
        <w:tblStyle w:val="Table282"/>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4.512939453125" w:firstLine="0"/>
              <w:jc w:val="righ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w:t>
            </w:r>
          </w:p>
        </w:tc>
      </w:tr>
    </w:tbl>
    <w:p w:rsidR="00000000" w:rsidDel="00000000" w:rsidP="00000000" w:rsidRDefault="00000000" w:rsidRPr="00000000" w14:paraId="00000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C</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L</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f</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td</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ri</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A</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ll</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R</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i</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gh</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ti</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ts</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R</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eserved. 46/82</w:t>
      </w:r>
    </w:p>
    <w:p w:rsidR="00000000" w:rsidDel="00000000" w:rsidP="00000000" w:rsidRDefault="00000000" w:rsidRPr="00000000" w14:paraId="00000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28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8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8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8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8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8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8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9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Refrigeration </w:t>
      </w:r>
    </w:p>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Roof Repair </w:t>
      </w:r>
    </w:p>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Including pitched and flat roof repair </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Scaffolding </w:t>
      </w:r>
    </w:p>
    <w:p w:rsidR="00000000" w:rsidDel="00000000" w:rsidP="00000000" w:rsidRDefault="00000000" w:rsidRPr="00000000" w14:paraId="00000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806640625" w:line="241.94486618041992"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Security - Access, Monitoring and Intruder Systems </w:t>
      </w:r>
    </w:p>
    <w:p w:rsidR="00000000" w:rsidDel="00000000" w:rsidP="00000000" w:rsidRDefault="00000000" w:rsidRPr="00000000" w14:paraId="00000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542724609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TV/Comms Installation &amp; Repair </w:t>
      </w:r>
    </w:p>
    <w:p w:rsidR="00000000" w:rsidDel="00000000" w:rsidP="00000000" w:rsidRDefault="00000000" w:rsidRPr="00000000" w14:paraId="00000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UPVC Windows &amp; Doors </w:t>
      </w:r>
    </w:p>
    <w:p w:rsidR="00000000" w:rsidDel="00000000" w:rsidP="00000000" w:rsidRDefault="00000000" w:rsidRPr="00000000" w14:paraId="00000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Including, but not limited to, composite doors </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Ventilation &amp; Air Conditioning </w:t>
      </w:r>
    </w:p>
    <w:p w:rsidR="00000000" w:rsidDel="00000000" w:rsidP="00000000" w:rsidRDefault="00000000" w:rsidRPr="00000000" w14:paraId="00000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45605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Water Hygiene Services </w:t>
      </w:r>
    </w:p>
    <w:p w:rsidR="00000000" w:rsidDel="00000000" w:rsidP="00000000" w:rsidRDefault="00000000" w:rsidRPr="00000000" w14:paraId="00000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3544921875" w:line="240" w:lineRule="auto"/>
        <w:ind w:left="0"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sectPr>
          <w:type w:val="continuous"/>
          <w:pgSz w:h="16840" w:w="11900" w:orient="portrait"/>
          <w:pgMar w:bottom="731.484375" w:top="446.640625" w:left="987.11669921875" w:right="5471.0736083984375" w:header="0" w:footer="720"/>
          <w:cols w:equalWidth="0" w:num="2">
            <w:col w:space="0" w:w="2740"/>
            <w:col w:space="0" w:w="2740"/>
          </w:cols>
        </w:sect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Including, but not limited to, Legionella Surveys </w:t>
      </w:r>
    </w:p>
    <w:p w:rsidR="00000000" w:rsidDel="00000000" w:rsidP="00000000" w:rsidRDefault="00000000" w:rsidRPr="00000000" w14:paraId="00000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5205078125" w:line="242.80526161193848" w:lineRule="auto"/>
        <w:ind w:left="19.937591552734375" w:right="5012.701416015625" w:hanging="2.3540496826171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81.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'Void/Vacant Management'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29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9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9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9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9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9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9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9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9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13516998291"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Adaptations &amp; Disabled Access Equipment Asbestos Surveys &amp; Management Bathroom Installs </w:t>
      </w:r>
    </w:p>
    <w:p w:rsidR="00000000" w:rsidDel="00000000" w:rsidP="00000000" w:rsidRDefault="00000000" w:rsidRPr="00000000" w14:paraId="00000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00415039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Brickwork &amp; Masonry </w:t>
      </w:r>
    </w:p>
    <w:p w:rsidR="00000000" w:rsidDel="00000000" w:rsidP="00000000" w:rsidRDefault="00000000" w:rsidRPr="00000000" w14:paraId="00000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Chimney Sweeping </w:t>
      </w:r>
    </w:p>
    <w:p w:rsidR="00000000" w:rsidDel="00000000" w:rsidP="00000000" w:rsidRDefault="00000000" w:rsidRPr="00000000" w14:paraId="00000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Condition Surveys </w:t>
      </w:r>
    </w:p>
    <w:p w:rsidR="00000000" w:rsidDel="00000000" w:rsidP="00000000" w:rsidRDefault="00000000" w:rsidRPr="00000000" w14:paraId="00000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Damp Repair </w:t>
      </w:r>
    </w:p>
    <w:p w:rsidR="00000000" w:rsidDel="00000000" w:rsidP="00000000" w:rsidRDefault="00000000" w:rsidRPr="00000000" w14:paraId="00000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659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Disrepair Services </w:t>
      </w:r>
    </w:p>
    <w:p w:rsidR="00000000" w:rsidDel="00000000" w:rsidP="00000000" w:rsidRDefault="00000000" w:rsidRPr="00000000" w14:paraId="00000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5947.2711181640625" w:header="0" w:footer="720"/>
          <w:cols w:equalWidth="0" w:num="2">
            <w:col w:space="0" w:w="2500"/>
            <w:col w:space="0" w:w="250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Drainage - Clearing/Cleaning </w:t>
      </w:r>
    </w:p>
    <w:p w:rsidR="00000000" w:rsidDel="00000000" w:rsidP="00000000" w:rsidRDefault="00000000" w:rsidRPr="00000000" w14:paraId="00000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993957519531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47/82</w:t>
      </w:r>
    </w:p>
    <w:p w:rsidR="00000000" w:rsidDel="00000000" w:rsidP="00000000" w:rsidRDefault="00000000" w:rsidRPr="00000000" w14:paraId="00000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30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0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0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0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0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0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0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0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0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0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1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1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1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1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1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1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1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Drainage - Repair </w:t>
      </w:r>
    </w:p>
    <w:p w:rsidR="00000000" w:rsidDel="00000000" w:rsidP="00000000" w:rsidRDefault="00000000" w:rsidRPr="00000000" w14:paraId="00000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Electrical Services </w:t>
      </w:r>
    </w:p>
    <w:p w:rsidR="00000000" w:rsidDel="00000000" w:rsidP="00000000" w:rsidRDefault="00000000" w:rsidRPr="00000000" w14:paraId="00000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242.01330184936523" w:lineRule="auto"/>
        <w:ind w:left="0"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Including, but not limited to: Installation, Testing &amp; Fault Finding, Certification and </w:t>
      </w:r>
    </w:p>
    <w:p w:rsidR="00000000" w:rsidDel="00000000" w:rsidP="00000000" w:rsidRDefault="00000000" w:rsidRPr="00000000" w14:paraId="00000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23681640625" w:line="240" w:lineRule="auto"/>
        <w:ind w:left="0"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Maintenance/Repair </w:t>
      </w:r>
    </w:p>
    <w:p w:rsidR="00000000" w:rsidDel="00000000" w:rsidP="00000000" w:rsidRDefault="00000000" w:rsidRPr="00000000" w14:paraId="00000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Fascias &amp; Soffits </w:t>
      </w:r>
    </w:p>
    <w:p w:rsidR="00000000" w:rsidDel="00000000" w:rsidP="00000000" w:rsidRDefault="00000000" w:rsidRPr="00000000" w14:paraId="00000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964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Fencing &amp; Gates </w:t>
      </w:r>
    </w:p>
    <w:p w:rsidR="00000000" w:rsidDel="00000000" w:rsidP="00000000" w:rsidRDefault="00000000" w:rsidRPr="00000000" w14:paraId="00000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Finishing Works (Plastering, Rendering) Fire Detection, Prevention &amp; Firefighting Flooring including installation &amp; repair Garage Doors </w:t>
      </w:r>
    </w:p>
    <w:p w:rsidR="00000000" w:rsidDel="00000000" w:rsidP="00000000" w:rsidRDefault="00000000" w:rsidRPr="00000000" w14:paraId="000007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45605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Gas Services incl. Heating </w:t>
      </w:r>
    </w:p>
    <w:p w:rsidR="00000000" w:rsidDel="00000000" w:rsidP="00000000" w:rsidRDefault="00000000" w:rsidRPr="00000000" w14:paraId="000007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354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General Building Works </w:t>
      </w:r>
    </w:p>
    <w:p w:rsidR="00000000" w:rsidDel="00000000" w:rsidP="00000000" w:rsidRDefault="00000000" w:rsidRPr="00000000" w14:paraId="00000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General Refurbishments </w:t>
      </w:r>
    </w:p>
    <w:p w:rsidR="00000000" w:rsidDel="00000000" w:rsidP="00000000" w:rsidRDefault="00000000" w:rsidRPr="00000000" w14:paraId="000007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Groundworks </w:t>
      </w:r>
    </w:p>
    <w:p w:rsidR="00000000" w:rsidDel="00000000" w:rsidP="00000000" w:rsidRDefault="00000000" w:rsidRPr="00000000" w14:paraId="00000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3544921875" w:line="242.01330184936523" w:lineRule="auto"/>
        <w:ind w:left="0"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Including, but not limited to, paving, paths, tarmac &amp; concrete </w:t>
      </w:r>
    </w:p>
    <w:p w:rsidR="00000000" w:rsidDel="00000000" w:rsidP="00000000" w:rsidRDefault="00000000" w:rsidRPr="00000000" w14:paraId="00000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4777221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Guttering </w:t>
      </w:r>
    </w:p>
    <w:p w:rsidR="00000000" w:rsidDel="00000000" w:rsidP="00000000" w:rsidRDefault="00000000" w:rsidRPr="00000000" w14:paraId="00000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Insulation </w:t>
      </w:r>
    </w:p>
    <w:p w:rsidR="00000000" w:rsidDel="00000000" w:rsidP="00000000" w:rsidRDefault="00000000" w:rsidRPr="00000000" w14:paraId="00000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659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Ironmongery </w:t>
      </w:r>
    </w:p>
    <w:p w:rsidR="00000000" w:rsidDel="00000000" w:rsidP="00000000" w:rsidRDefault="00000000" w:rsidRPr="00000000" w14:paraId="000007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Joinery/Carpentry </w:t>
      </w:r>
    </w:p>
    <w:p w:rsidR="00000000" w:rsidDel="00000000" w:rsidP="00000000" w:rsidRDefault="00000000" w:rsidRPr="00000000" w14:paraId="00000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5424.6466064453125" w:header="0" w:footer="720"/>
          <w:cols w:equalWidth="0" w:num="2">
            <w:col w:space="0" w:w="2760"/>
            <w:col w:space="0" w:w="27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Kitchen Installs </w:t>
      </w:r>
    </w:p>
    <w:p w:rsidR="00000000" w:rsidDel="00000000" w:rsidP="00000000" w:rsidRDefault="00000000" w:rsidRPr="00000000" w14:paraId="000007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134582519531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48/82</w:t>
      </w:r>
    </w:p>
    <w:p w:rsidR="00000000" w:rsidDel="00000000" w:rsidP="00000000" w:rsidRDefault="00000000" w:rsidRPr="00000000" w14:paraId="00000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31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7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1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1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2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2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2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2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2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2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2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2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2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2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3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Landscaping &amp; Gardening </w:t>
      </w:r>
    </w:p>
    <w:p w:rsidR="00000000" w:rsidDel="00000000" w:rsidP="00000000" w:rsidRDefault="00000000" w:rsidRPr="00000000" w14:paraId="00000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Lift Maintenance </w:t>
      </w:r>
    </w:p>
    <w:p w:rsidR="00000000" w:rsidDel="00000000" w:rsidP="00000000" w:rsidRDefault="00000000" w:rsidRPr="00000000" w14:paraId="00000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964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Locksmiths </w:t>
      </w:r>
    </w:p>
    <w:p w:rsidR="00000000" w:rsidDel="00000000" w:rsidP="00000000" w:rsidRDefault="00000000" w:rsidRPr="00000000" w14:paraId="00000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Painting &amp; Decorating </w:t>
      </w:r>
    </w:p>
    <w:p w:rsidR="00000000" w:rsidDel="00000000" w:rsidP="00000000" w:rsidRDefault="00000000" w:rsidRPr="00000000" w14:paraId="00000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Pest Control </w:t>
      </w:r>
    </w:p>
    <w:p w:rsidR="00000000" w:rsidDel="00000000" w:rsidP="00000000" w:rsidRDefault="00000000" w:rsidRPr="00000000" w14:paraId="00000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Plumbing </w:t>
      </w:r>
    </w:p>
    <w:p w:rsidR="00000000" w:rsidDel="00000000" w:rsidP="00000000" w:rsidRDefault="00000000" w:rsidRPr="00000000" w14:paraId="00000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Radon Management </w:t>
      </w:r>
    </w:p>
    <w:p w:rsidR="00000000" w:rsidDel="00000000" w:rsidP="00000000" w:rsidRDefault="00000000" w:rsidRPr="00000000" w14:paraId="000007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Roof Repair </w:t>
      </w:r>
    </w:p>
    <w:p w:rsidR="00000000" w:rsidDel="00000000" w:rsidP="00000000" w:rsidRDefault="00000000" w:rsidRPr="00000000" w14:paraId="00000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3544921875" w:line="683.879299163818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Including pitched and flat roof repair </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Security </w:t>
      </w:r>
    </w:p>
    <w:p w:rsidR="00000000" w:rsidDel="00000000" w:rsidP="00000000" w:rsidRDefault="00000000" w:rsidRPr="00000000" w14:paraId="00000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32763671875" w:line="242.01330184936523"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Security - Access, Monitoring and Intruder Systems </w:t>
      </w:r>
    </w:p>
    <w:p w:rsidR="00000000" w:rsidDel="00000000" w:rsidP="00000000" w:rsidRDefault="00000000" w:rsidRPr="00000000" w14:paraId="00000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4774169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TV/Comms Installation &amp; Repair </w:t>
      </w:r>
    </w:p>
    <w:p w:rsidR="00000000" w:rsidDel="00000000" w:rsidP="00000000" w:rsidRDefault="00000000" w:rsidRPr="00000000" w14:paraId="00000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UPVC Windows &amp; Doors </w:t>
      </w:r>
    </w:p>
    <w:p w:rsidR="00000000" w:rsidDel="00000000" w:rsidP="00000000" w:rsidRDefault="00000000" w:rsidRPr="00000000" w14:paraId="00000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35449218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Including, but not limited to, composite doors </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Ventilation &amp; Air Conditioning </w:t>
      </w:r>
    </w:p>
    <w:p w:rsidR="00000000" w:rsidDel="00000000" w:rsidP="00000000" w:rsidRDefault="00000000" w:rsidRPr="00000000" w14:paraId="00000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189941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Water Hygiene Services </w:t>
      </w:r>
    </w:p>
    <w:p w:rsidR="00000000" w:rsidDel="00000000" w:rsidP="00000000" w:rsidRDefault="00000000" w:rsidRPr="00000000" w14:paraId="00000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65966796875" w:line="240" w:lineRule="auto"/>
        <w:ind w:left="0" w:right="0" w:firstLine="0"/>
        <w:jc w:val="left"/>
        <w:rPr>
          <w:rFonts w:ascii="Arial" w:cs="Arial" w:eastAsia="Arial" w:hAnsi="Arial"/>
          <w:b w:val="0"/>
          <w:i w:val="0"/>
          <w:smallCaps w:val="0"/>
          <w:strike w:val="0"/>
          <w:color w:val="6f777b"/>
          <w:sz w:val="22.82016372680664"/>
          <w:szCs w:val="22.82016372680664"/>
          <w:u w:val="none"/>
          <w:shd w:fill="auto" w:val="clear"/>
          <w:vertAlign w:val="baseline"/>
        </w:rPr>
        <w:sectPr>
          <w:type w:val="continuous"/>
          <w:pgSz w:h="16840" w:w="11900" w:orient="portrait"/>
          <w:pgMar w:bottom="731.484375" w:top="446.640625" w:left="987.11669921875" w:right="5471.0736083984375" w:header="0" w:footer="720"/>
          <w:cols w:equalWidth="0" w:num="2">
            <w:col w:space="0" w:w="2740"/>
            <w:col w:space="0" w:w="2740"/>
          </w:cols>
        </w:sectPr>
      </w:pPr>
      <w:r w:rsidDel="00000000" w:rsidR="00000000" w:rsidRPr="00000000">
        <w:rPr>
          <w:rFonts w:ascii="Arial" w:cs="Arial" w:eastAsia="Arial" w:hAnsi="Arial"/>
          <w:b w:val="0"/>
          <w:i w:val="0"/>
          <w:smallCaps w:val="0"/>
          <w:strike w:val="0"/>
          <w:color w:val="6f777b"/>
          <w:sz w:val="22.82016372680664"/>
          <w:szCs w:val="22.82016372680664"/>
          <w:u w:val="none"/>
          <w:shd w:fill="auto" w:val="clear"/>
          <w:vertAlign w:val="baseline"/>
          <w:rtl w:val="0"/>
        </w:rPr>
        <w:t xml:space="preserve">Including, but not limited to, Legionella Surveys </w:t>
      </w:r>
    </w:p>
    <w:p w:rsidR="00000000" w:rsidDel="00000000" w:rsidP="00000000" w:rsidRDefault="00000000" w:rsidRPr="00000000" w14:paraId="000007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41363525390625" w:line="242.71282196044922" w:lineRule="auto"/>
        <w:ind w:left="17.247238159179688" w:right="5019.7515869140625" w:firstLine="0.33630371093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82.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'Whole Home Retrofit Services'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33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7183.712158203125" w:header="0" w:footer="720"/>
          <w:cols w:equalWidth="0" w:num="2">
            <w:col w:space="0" w:w="1880"/>
            <w:col w:space="0" w:w="188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Whole Home Retrofit Services </w:t>
      </w:r>
    </w:p>
    <w:p w:rsidR="00000000" w:rsidDel="00000000" w:rsidP="00000000" w:rsidRDefault="00000000" w:rsidRPr="00000000" w14:paraId="00000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41363525390625" w:line="240" w:lineRule="auto"/>
        <w:ind w:left="17.58354187011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83.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Do you hold a valid PAS 2030 certification? </w:t>
      </w:r>
    </w:p>
    <w:p w:rsidR="00000000" w:rsidDel="00000000" w:rsidP="00000000" w:rsidRDefault="00000000" w:rsidRPr="00000000" w14:paraId="000007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55126953125" w:line="240" w:lineRule="auto"/>
        <w:ind w:left="16.742782592773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All suppliers delivering the 'Whole Home Retrofit Services' must answer this </w:t>
      </w:r>
    </w:p>
    <w:p w:rsidR="00000000" w:rsidDel="00000000" w:rsidP="00000000" w:rsidRDefault="00000000" w:rsidRPr="00000000" w14:paraId="000007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8.25614929199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question in order to pass selection. </w:t>
      </w:r>
    </w:p>
    <w:p w:rsidR="00000000" w:rsidDel="00000000" w:rsidP="00000000" w:rsidRDefault="00000000" w:rsidRPr="00000000" w14:paraId="000007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0412292480469"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49/82</w:t>
      </w:r>
    </w:p>
    <w:p w:rsidR="00000000" w:rsidDel="00000000" w:rsidP="00000000" w:rsidRDefault="00000000" w:rsidRPr="00000000" w14:paraId="00000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455078125" w:line="242.713251113891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84.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Are you a member of a TrustMark approved Retrofit Coordinator Scheme? </w:t>
      </w:r>
    </w:p>
    <w:p w:rsidR="00000000" w:rsidDel="00000000" w:rsidP="00000000" w:rsidRDefault="00000000" w:rsidRPr="00000000" w14:paraId="00000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8.4326171875" w:line="242.713251113891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All suppliers delivering the 'Whole Home Retrofit Services' must answer this question in order to pass selection. </w:t>
      </w:r>
    </w:p>
    <w:p w:rsidR="00000000" w:rsidDel="00000000" w:rsidP="00000000" w:rsidRDefault="00000000" w:rsidRPr="00000000" w14:paraId="00000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8.691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7045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7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4412841796875" w:line="240" w:lineRule="auto"/>
        <w:ind w:left="0"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7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2.80526161193848"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85.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in which your organisation is able to provide services. Tick all that apply. </w:t>
      </w:r>
    </w:p>
    <w:tbl>
      <w:tblPr>
        <w:tblStyle w:val="Table332"/>
        <w:tblW w:w="420.37139892578125" w:type="dxa"/>
        <w:jc w:val="left"/>
        <w:tblInd w:w="117.2475433349609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All locations </w:t>
      </w:r>
    </w:p>
    <w:p w:rsidR="00000000" w:rsidDel="00000000" w:rsidP="00000000" w:rsidRDefault="00000000" w:rsidRPr="00000000" w14:paraId="000007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78.1048583984375"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7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968017578125" w:line="233.2508897781372"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sectPr>
          <w:type w:val="continuous"/>
          <w:pgSz w:h="16840" w:w="11900" w:orient="portrait"/>
          <w:pgMar w:bottom="731.484375" w:top="446.640625" w:left="869.8691558837891" w:right="1785.0177001953125" w:header="0" w:footer="720"/>
          <w:cols w:equalWidth="0" w:num="2">
            <w:col w:space="0" w:w="4640"/>
            <w:col w:space="0" w:w="4640"/>
          </w:cols>
        </w:sect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You are advised to select only the relevant criteria to your organisation. Buyers using the RM6241 Marketplace will assess your credentials for specific contract opportunities during call for competitions. </w:t>
      </w:r>
    </w:p>
    <w:p w:rsidR="00000000" w:rsidDel="00000000" w:rsidP="00000000" w:rsidRDefault="00000000" w:rsidRPr="00000000" w14:paraId="00000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tl w:val="0"/>
        </w:rPr>
      </w:r>
    </w:p>
    <w:tbl>
      <w:tblPr>
        <w:tblStyle w:val="Table333"/>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tl w:val="0"/>
              </w:rPr>
            </w:r>
          </w:p>
        </w:tc>
      </w:tr>
    </w:tbl>
    <w:p w:rsidR="00000000" w:rsidDel="00000000" w:rsidP="00000000" w:rsidRDefault="00000000" w:rsidRPr="00000000" w14:paraId="00000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2.5489807128906"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Bedfordshire and Hertfordshire </w:t>
      </w:r>
    </w:p>
    <w:tbl>
      <w:tblPr>
        <w:tblStyle w:val="Table334"/>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tl w:val="0"/>
              </w:rPr>
            </w:r>
          </w:p>
        </w:tc>
      </w:tr>
    </w:tbl>
    <w:p w:rsidR="00000000" w:rsidDel="00000000" w:rsidP="00000000" w:rsidRDefault="00000000" w:rsidRPr="00000000" w14:paraId="00000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2.5489807128906"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Berkshire, Buckinghamshire and Oxfordshire </w:t>
      </w:r>
    </w:p>
    <w:tbl>
      <w:tblPr>
        <w:tblStyle w:val="Table335"/>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tl w:val="0"/>
              </w:rPr>
            </w:r>
          </w:p>
        </w:tc>
      </w:tr>
    </w:tbl>
    <w:p w:rsidR="00000000" w:rsidDel="00000000" w:rsidP="00000000" w:rsidRDefault="00000000" w:rsidRPr="00000000" w14:paraId="00000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5.47470092773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Cheshire </w:t>
      </w:r>
    </w:p>
    <w:tbl>
      <w:tblPr>
        <w:tblStyle w:val="Table336"/>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tl w:val="0"/>
              </w:rPr>
            </w:r>
          </w:p>
        </w:tc>
      </w:tr>
    </w:tbl>
    <w:p w:rsidR="00000000" w:rsidDel="00000000" w:rsidP="00000000" w:rsidRDefault="00000000" w:rsidRPr="00000000" w14:paraId="000007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5.47470092773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Cornwall and Isles of Scilly </w:t>
      </w:r>
    </w:p>
    <w:tbl>
      <w:tblPr>
        <w:tblStyle w:val="Table337"/>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tl w:val="0"/>
              </w:rPr>
            </w:r>
          </w:p>
        </w:tc>
      </w:tr>
    </w:tbl>
    <w:p w:rsidR="00000000" w:rsidDel="00000000" w:rsidP="00000000" w:rsidRDefault="00000000" w:rsidRPr="00000000" w14:paraId="00000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5.47470092773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Cumbria </w:t>
      </w:r>
    </w:p>
    <w:tbl>
      <w:tblPr>
        <w:tblStyle w:val="Table338"/>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tl w:val="0"/>
              </w:rPr>
            </w:r>
          </w:p>
        </w:tc>
      </w:tr>
    </w:tbl>
    <w:p w:rsidR="00000000" w:rsidDel="00000000" w:rsidP="00000000" w:rsidRDefault="00000000" w:rsidRPr="00000000" w14:paraId="000007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4.83093261718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Derbyshire and Nottinghamshire </w:t>
      </w:r>
    </w:p>
    <w:tbl>
      <w:tblPr>
        <w:tblStyle w:val="Table339"/>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tl w:val="0"/>
              </w:rPr>
            </w:r>
          </w:p>
        </w:tc>
      </w:tr>
    </w:tbl>
    <w:p w:rsidR="00000000" w:rsidDel="00000000" w:rsidP="00000000" w:rsidRDefault="00000000" w:rsidRPr="00000000" w14:paraId="00000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4.83093261718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Devon </w:t>
      </w:r>
    </w:p>
    <w:tbl>
      <w:tblPr>
        <w:tblStyle w:val="Table340"/>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4.512939453125" w:firstLine="0"/>
              <w:jc w:val="righ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w:t>
            </w:r>
          </w:p>
        </w:tc>
      </w:tr>
    </w:tbl>
    <w:p w:rsidR="00000000" w:rsidDel="00000000" w:rsidP="00000000" w:rsidRDefault="00000000" w:rsidRPr="00000000" w14:paraId="00000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808080"/>
          <w:sz w:val="26.022993723551433"/>
          <w:szCs w:val="26.022993723551433"/>
          <w:u w:val="none"/>
          <w:shd w:fill="auto" w:val="clear"/>
          <w:vertAlign w:val="superscript"/>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C</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L</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td</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A</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ll</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R</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ig</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h</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ts R</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e</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se</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m</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rv</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ed</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set </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50/82</w:t>
      </w:r>
    </w:p>
    <w:p w:rsidR="00000000" w:rsidDel="00000000" w:rsidP="00000000" w:rsidRDefault="00000000" w:rsidRPr="00000000" w14:paraId="00000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26.022993723551433"/>
          <w:szCs w:val="26.022993723551433"/>
          <w:u w:val="none"/>
          <w:shd w:fill="auto" w:val="clear"/>
          <w:vertAlign w:val="superscript"/>
        </w:rPr>
      </w:pPr>
      <w:r w:rsidDel="00000000" w:rsidR="00000000" w:rsidRPr="00000000">
        <w:rPr>
          <w:rtl w:val="0"/>
        </w:rPr>
      </w:r>
    </w:p>
    <w:tbl>
      <w:tblPr>
        <w:tblStyle w:val="Table34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26.022993723551433"/>
                <w:szCs w:val="26.022993723551433"/>
                <w:u w:val="none"/>
                <w:shd w:fill="auto" w:val="clear"/>
                <w:vertAlign w:val="superscript"/>
              </w:rPr>
            </w:pPr>
            <w:r w:rsidDel="00000000" w:rsidR="00000000" w:rsidRPr="00000000">
              <w:rPr>
                <w:rtl w:val="0"/>
              </w:rPr>
            </w:r>
          </w:p>
        </w:tc>
      </w:tr>
    </w:tbl>
    <w:p w:rsidR="00000000" w:rsidDel="00000000" w:rsidP="00000000" w:rsidRDefault="00000000" w:rsidRPr="00000000" w14:paraId="000007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4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4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4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4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4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4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4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4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5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5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5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5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5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5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5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5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5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5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Dorset and Somerset </w:t>
      </w:r>
    </w:p>
    <w:p w:rsidR="00000000" w:rsidDel="00000000" w:rsidP="00000000" w:rsidRDefault="00000000" w:rsidRPr="00000000" w14:paraId="00000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East Anglia </w:t>
      </w:r>
    </w:p>
    <w:p w:rsidR="00000000" w:rsidDel="00000000" w:rsidP="00000000" w:rsidRDefault="00000000" w:rsidRPr="00000000" w14:paraId="00000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East Wales </w:t>
      </w:r>
    </w:p>
    <w:p w:rsidR="00000000" w:rsidDel="00000000" w:rsidP="00000000" w:rsidRDefault="00000000" w:rsidRPr="00000000" w14:paraId="00000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East Yorkshire and Northern Lincolnshire Eastern Scotland </w:t>
      </w:r>
    </w:p>
    <w:p w:rsidR="00000000" w:rsidDel="00000000" w:rsidP="00000000" w:rsidRDefault="00000000" w:rsidRPr="00000000" w14:paraId="00000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189941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Essex </w:t>
      </w:r>
    </w:p>
    <w:p w:rsidR="00000000" w:rsidDel="00000000" w:rsidP="00000000" w:rsidRDefault="00000000" w:rsidRPr="00000000" w14:paraId="00000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Gloucestershire, Wiltshire and Bath/Bristol area Greater Manchester </w:t>
      </w:r>
    </w:p>
    <w:p w:rsidR="00000000" w:rsidDel="00000000" w:rsidP="00000000" w:rsidRDefault="00000000" w:rsidRPr="00000000" w14:paraId="00000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45605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Hampshire and Isle of Wight </w:t>
      </w:r>
    </w:p>
    <w:p w:rsidR="00000000" w:rsidDel="00000000" w:rsidP="00000000" w:rsidRDefault="00000000" w:rsidRPr="00000000" w14:paraId="00000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Herefordshire, Worcestershire and </w:t>
      </w:r>
    </w:p>
    <w:p w:rsidR="00000000" w:rsidDel="00000000" w:rsidP="00000000" w:rsidRDefault="00000000" w:rsidRPr="00000000" w14:paraId="00000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354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Warwickshire </w:t>
      </w:r>
    </w:p>
    <w:p w:rsidR="00000000" w:rsidDel="00000000" w:rsidP="00000000" w:rsidRDefault="00000000" w:rsidRPr="00000000" w14:paraId="000008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354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Highlands and Islands </w:t>
      </w:r>
    </w:p>
    <w:p w:rsidR="00000000" w:rsidDel="00000000" w:rsidP="00000000" w:rsidRDefault="00000000" w:rsidRPr="00000000" w14:paraId="00000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Inner London - East </w:t>
      </w:r>
    </w:p>
    <w:p w:rsidR="00000000" w:rsidDel="00000000" w:rsidP="00000000" w:rsidRDefault="00000000" w:rsidRPr="00000000" w14:paraId="000008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Inner London - West </w:t>
      </w:r>
    </w:p>
    <w:p w:rsidR="00000000" w:rsidDel="00000000" w:rsidP="00000000" w:rsidRDefault="00000000" w:rsidRPr="00000000" w14:paraId="00000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Kent </w:t>
      </w:r>
    </w:p>
    <w:p w:rsidR="00000000" w:rsidDel="00000000" w:rsidP="00000000" w:rsidRDefault="00000000" w:rsidRPr="00000000" w14:paraId="00000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Lancashire </w:t>
      </w:r>
    </w:p>
    <w:p w:rsidR="00000000" w:rsidDel="00000000" w:rsidP="00000000" w:rsidRDefault="00000000" w:rsidRPr="00000000" w14:paraId="00000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683.8801574707031"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Leicestershire, Rutland and Northamptonshire Lincolnshire </w:t>
      </w:r>
    </w:p>
    <w:p w:rsidR="00000000" w:rsidDel="00000000" w:rsidP="00000000" w:rsidRDefault="00000000" w:rsidRPr="00000000" w14:paraId="00000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3276367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Merseyside </w:t>
      </w:r>
    </w:p>
    <w:p w:rsidR="00000000" w:rsidDel="00000000" w:rsidP="00000000" w:rsidRDefault="00000000" w:rsidRPr="00000000" w14:paraId="000008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5438.345947265625" w:header="0" w:footer="720"/>
          <w:cols w:equalWidth="0" w:num="2">
            <w:col w:space="0" w:w="2740"/>
            <w:col w:space="0" w:w="27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North Eastern Scotland </w:t>
      </w:r>
    </w:p>
    <w:p w:rsidR="00000000" w:rsidDel="00000000" w:rsidP="00000000" w:rsidRDefault="00000000" w:rsidRPr="00000000" w14:paraId="00000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3.103332519531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51/82</w:t>
      </w:r>
    </w:p>
    <w:p w:rsidR="00000000" w:rsidDel="00000000" w:rsidP="00000000" w:rsidRDefault="00000000" w:rsidRPr="00000000" w14:paraId="00000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36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6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6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6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6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6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6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6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6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6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7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7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7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7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Northern Ireland </w:t>
      </w:r>
    </w:p>
    <w:p w:rsidR="00000000" w:rsidDel="00000000" w:rsidP="00000000" w:rsidRDefault="00000000" w:rsidRPr="00000000" w14:paraId="00000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683.9249038696289"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Northumberland and Tyne and Wear Outer London - East and North East Outer London - West and North West Outer London - South </w:t>
      </w:r>
    </w:p>
    <w:p w:rsidR="00000000" w:rsidDel="00000000" w:rsidP="00000000" w:rsidRDefault="00000000" w:rsidRPr="00000000" w14:paraId="00000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888183593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Shropshire and Staffordshire South Yorkshire </w:t>
      </w:r>
    </w:p>
    <w:p w:rsidR="00000000" w:rsidDel="00000000" w:rsidP="00000000" w:rsidRDefault="00000000" w:rsidRPr="00000000" w14:paraId="00000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8066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South Western Scotland </w:t>
      </w:r>
    </w:p>
    <w:p w:rsidR="00000000" w:rsidDel="00000000" w:rsidP="00000000" w:rsidRDefault="00000000" w:rsidRPr="00000000" w14:paraId="00000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683.879299163818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Surrey, East and West Sussex Tees Valley and Durham </w:t>
      </w:r>
    </w:p>
    <w:p w:rsidR="00000000" w:rsidDel="00000000" w:rsidP="00000000" w:rsidRDefault="00000000" w:rsidRPr="00000000" w14:paraId="00000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3276367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West Midlands </w:t>
      </w:r>
    </w:p>
    <w:p w:rsidR="00000000" w:rsidDel="00000000" w:rsidP="00000000" w:rsidRDefault="00000000" w:rsidRPr="00000000" w14:paraId="00000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West Wales </w:t>
      </w:r>
    </w:p>
    <w:p w:rsidR="00000000" w:rsidDel="00000000" w:rsidP="00000000" w:rsidRDefault="00000000" w:rsidRPr="00000000" w14:paraId="00000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West Yorkshire </w:t>
      </w:r>
    </w:p>
    <w:p w:rsidR="00000000" w:rsidDel="00000000" w:rsidP="00000000" w:rsidRDefault="00000000" w:rsidRPr="00000000" w14:paraId="00000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6505.3887939453125" w:header="0" w:footer="720"/>
          <w:cols w:equalWidth="0" w:num="2">
            <w:col w:space="0" w:w="2220"/>
            <w:col w:space="0" w:w="222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Yorkshire </w:t>
      </w:r>
    </w:p>
    <w:p w:rsidR="00000000" w:rsidDel="00000000" w:rsidP="00000000" w:rsidRDefault="00000000" w:rsidRPr="00000000" w14:paraId="000008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0.3631591796875" w:line="240" w:lineRule="auto"/>
        <w:ind w:left="0"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0561523438" w:line="242.8056907653808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86.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All locations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tbl>
      <w:tblPr>
        <w:tblStyle w:val="Table374"/>
        <w:tblW w:w="420.37139892578125" w:type="dxa"/>
        <w:jc w:val="left"/>
        <w:tblInd w:w="116.7430877685546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All regions </w:t>
      </w:r>
    </w:p>
    <w:p w:rsidR="00000000" w:rsidDel="00000000" w:rsidP="00000000" w:rsidRDefault="00000000" w:rsidRPr="00000000" w14:paraId="000008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551025390625" w:line="242.8056907653808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87.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Bedfordshire and Hertfordshire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8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9.0859985351562"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8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1898193359375" w:line="233.25086116790771"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sectPr>
          <w:type w:val="continuous"/>
          <w:pgSz w:h="16840" w:w="11900" w:orient="portrait"/>
          <w:pgMar w:bottom="731.484375" w:top="446.640625" w:left="870.3736114501953" w:right="1785.0177001953125" w:header="0" w:footer="720"/>
          <w:cols w:equalWidth="0" w:num="2">
            <w:col w:space="0" w:w="4640"/>
            <w:col w:space="0" w:w="4640"/>
          </w:cols>
        </w:sect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You are advised to select only the relevant criteria to your organisation. Buyers using the RM6241 Marketplace will assess your credentials for specific contract opportunities during call for competitions. </w:t>
      </w:r>
    </w:p>
    <w:p w:rsidR="00000000" w:rsidDel="00000000" w:rsidP="00000000" w:rsidRDefault="00000000" w:rsidRPr="00000000" w14:paraId="00000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7.83752441406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52/82</w:t>
      </w:r>
    </w:p>
    <w:p w:rsidR="00000000" w:rsidDel="00000000" w:rsidP="00000000" w:rsidRDefault="00000000" w:rsidRPr="00000000" w14:paraId="00000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37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8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7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7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7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Bedford </w:t>
      </w:r>
    </w:p>
    <w:p w:rsidR="00000000" w:rsidDel="00000000" w:rsidP="00000000" w:rsidRDefault="00000000" w:rsidRPr="00000000" w14:paraId="00000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964843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Central Bedfordshire Hertfordshire </w:t>
      </w:r>
    </w:p>
    <w:p w:rsidR="00000000" w:rsidDel="00000000" w:rsidP="00000000" w:rsidRDefault="00000000" w:rsidRPr="00000000" w14:paraId="00000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8066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8138.106689453125" w:header="0" w:footer="720"/>
          <w:cols w:equalWidth="0" w:num="2">
            <w:col w:space="0" w:w="1400"/>
            <w:col w:space="0" w:w="140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Luton </w:t>
      </w:r>
    </w:p>
    <w:p w:rsidR="00000000" w:rsidDel="00000000" w:rsidP="00000000" w:rsidRDefault="00000000" w:rsidRPr="00000000" w14:paraId="00000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642578125" w:line="242.80614852905273" w:lineRule="auto"/>
        <w:ind w:left="20.946502685546875" w:right="5209.6240234375" w:hanging="3.3629608154296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88.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Berkshire, Buckinghamshire and Oxfordshire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37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8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8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8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Berkshire </w:t>
      </w:r>
    </w:p>
    <w:p w:rsidR="00000000" w:rsidDel="00000000" w:rsidP="00000000" w:rsidRDefault="00000000" w:rsidRPr="00000000" w14:paraId="00000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964843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Buckinghamshire CC Milton Keynes </w:t>
      </w:r>
    </w:p>
    <w:p w:rsidR="00000000" w:rsidDel="00000000" w:rsidP="00000000" w:rsidRDefault="00000000" w:rsidRPr="00000000" w14:paraId="000008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45605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8063.0255126953125" w:header="0" w:footer="720"/>
          <w:cols w:equalWidth="0" w:num="2">
            <w:col w:space="0" w:w="1440"/>
            <w:col w:space="0" w:w="14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Oxfordshire </w:t>
      </w:r>
    </w:p>
    <w:p w:rsidR="00000000" w:rsidDel="00000000" w:rsidP="00000000" w:rsidRDefault="00000000" w:rsidRPr="00000000" w14:paraId="000008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413330078125" w:line="242.71236419677734" w:lineRule="auto"/>
        <w:ind w:left="19.937591552734375" w:right="5156.6412353515625" w:hanging="2.3540496826171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89.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Cheshire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8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38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8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8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Cheshire East </w:t>
      </w:r>
    </w:p>
    <w:p w:rsidR="00000000" w:rsidDel="00000000" w:rsidP="00000000" w:rsidRDefault="00000000" w:rsidRPr="00000000" w14:paraId="00000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7461.2939453125" w:header="0" w:footer="720"/>
          <w:cols w:equalWidth="0" w:num="2">
            <w:col w:space="0" w:w="1740"/>
            <w:col w:space="0" w:w="17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Cheshire West and Chester Warrington </w:t>
      </w:r>
    </w:p>
    <w:p w:rsidR="00000000" w:rsidDel="00000000" w:rsidP="00000000" w:rsidRDefault="00000000" w:rsidRPr="00000000" w14:paraId="00000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211181640625" w:line="242.75922775268555" w:lineRule="auto"/>
        <w:ind w:left="16.238327026367188" w:right="5119.6942138671875" w:firstLine="2.354125976562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90.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Cornwall and Isles of Scilly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38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7526.014404296875" w:header="0" w:footer="720"/>
          <w:cols w:equalWidth="0" w:num="2">
            <w:col w:space="0" w:w="1700"/>
            <w:col w:space="0" w:w="170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Cornwall and Isles of Scilly </w:t>
      </w:r>
    </w:p>
    <w:p w:rsidR="00000000" w:rsidDel="00000000" w:rsidP="00000000" w:rsidRDefault="00000000" w:rsidRPr="00000000" w14:paraId="00000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41363525390625" w:line="242.71282196044922" w:lineRule="auto"/>
        <w:ind w:left="19.937591552734375" w:right="5192.67333984375" w:hanging="1.3451385498046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91.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Cumbria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38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8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8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8650360107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8784.990844726562" w:header="0" w:footer="720"/>
          <w:cols w:equalWidth="0" w:num="2">
            <w:col w:space="0" w:w="1080"/>
            <w:col w:space="0" w:w="108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East Cumbria West Cumbria </w:t>
      </w:r>
    </w:p>
    <w:p w:rsidR="00000000" w:rsidDel="00000000" w:rsidP="00000000" w:rsidRDefault="00000000" w:rsidRPr="00000000" w14:paraId="00000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53/82</w:t>
      </w:r>
    </w:p>
    <w:p w:rsidR="00000000" w:rsidDel="00000000" w:rsidP="00000000" w:rsidRDefault="00000000" w:rsidRPr="00000000" w14:paraId="00000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75968551635742" w:lineRule="auto"/>
        <w:ind w:left="18.592453002929688" w:right="5472.0648193359375" w:hanging="1.008911132812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92.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Derbyshire and Nottinghamshire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38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8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9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9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9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9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9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Derby </w:t>
      </w:r>
    </w:p>
    <w:p w:rsidR="00000000" w:rsidDel="00000000" w:rsidP="00000000" w:rsidRDefault="00000000" w:rsidRPr="00000000" w14:paraId="00000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East Derbyshire </w:t>
      </w:r>
    </w:p>
    <w:p w:rsidR="00000000" w:rsidDel="00000000" w:rsidP="00000000" w:rsidRDefault="00000000" w:rsidRPr="00000000" w14:paraId="00000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964843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North Nottinghamshire Nottingham </w:t>
      </w:r>
    </w:p>
    <w:p w:rsidR="00000000" w:rsidDel="00000000" w:rsidP="00000000" w:rsidRDefault="00000000" w:rsidRPr="00000000" w14:paraId="00000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80664062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7440.364990234375" w:header="0" w:footer="720"/>
          <w:cols w:equalWidth="0" w:num="2">
            <w:col w:space="0" w:w="1740"/>
            <w:col w:space="0" w:w="17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South and West Derbyshire South Nottinghamshire </w:t>
      </w:r>
    </w:p>
    <w:p w:rsidR="00000000" w:rsidDel="00000000" w:rsidP="00000000" w:rsidRDefault="00000000" w:rsidRPr="00000000" w14:paraId="00000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211181640625" w:line="242.80526161193848" w:lineRule="auto"/>
        <w:ind w:left="19.937591552734375" w:right="5360.821533203125" w:hanging="1.3451385498046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93.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Devon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39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8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9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9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9152.98828125" w:header="0" w:footer="720"/>
          <w:cols w:equalWidth="0" w:num="2">
            <w:col w:space="0" w:w="880"/>
            <w:col w:space="0" w:w="88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Devon CC Plymouth Torbay </w:t>
      </w:r>
    </w:p>
    <w:p w:rsidR="00000000" w:rsidDel="00000000" w:rsidP="00000000" w:rsidRDefault="00000000" w:rsidRPr="00000000" w14:paraId="00000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211181640625" w:line="242.71236419677734" w:lineRule="auto"/>
        <w:ind w:left="14.8931884765625" w:right="4960.0738525390625" w:firstLine="3.6992645263671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94.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Dorset and Somerset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8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39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9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0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8795280456543"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Bournemouth and Poole Dorset CC </w:t>
      </w:r>
    </w:p>
    <w:p w:rsidR="00000000" w:rsidDel="00000000" w:rsidP="00000000" w:rsidRDefault="00000000" w:rsidRPr="00000000" w14:paraId="00000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3276367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7769.34326171875" w:header="0" w:footer="720"/>
          <w:cols w:equalWidth="0" w:num="2">
            <w:col w:space="0" w:w="1580"/>
            <w:col w:space="0" w:w="158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Somerset </w:t>
      </w:r>
    </w:p>
    <w:p w:rsidR="00000000" w:rsidDel="00000000" w:rsidP="00000000" w:rsidRDefault="00000000" w:rsidRPr="00000000" w14:paraId="000008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41363525390625" w:line="242.71282196044922" w:lineRule="auto"/>
        <w:ind w:left="19.937591552734375" w:right="4952.4609375" w:hanging="1.3451385498046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95.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East Anglia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8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40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8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0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8650360107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7334.595947265625" w:header="0" w:footer="720"/>
          <w:cols w:equalWidth="0" w:num="2">
            <w:col w:space="0" w:w="1800"/>
            <w:col w:space="0" w:w="180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Breckland and South Norfolk Cambridgeshire CC </w:t>
      </w:r>
    </w:p>
    <w:p w:rsidR="00000000" w:rsidDel="00000000" w:rsidP="00000000" w:rsidRDefault="00000000" w:rsidRPr="00000000" w14:paraId="000008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54/82</w:t>
      </w:r>
    </w:p>
    <w:p w:rsidR="00000000" w:rsidDel="00000000" w:rsidP="00000000" w:rsidRDefault="00000000" w:rsidRPr="00000000" w14:paraId="000008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40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8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0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0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0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North and West Norfolk Norwich and East Norfolk Peterborough </w:t>
      </w:r>
    </w:p>
    <w:p w:rsidR="00000000" w:rsidDel="00000000" w:rsidP="00000000" w:rsidRDefault="00000000" w:rsidRPr="00000000" w14:paraId="000009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189941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7665.0750732421875" w:header="0" w:footer="720"/>
          <w:cols w:equalWidth="0" w:num="2">
            <w:col w:space="0" w:w="1640"/>
            <w:col w:space="0" w:w="16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Suffolk </w:t>
      </w:r>
    </w:p>
    <w:p w:rsidR="00000000" w:rsidDel="00000000" w:rsidP="00000000" w:rsidRDefault="00000000" w:rsidRPr="00000000" w14:paraId="00000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41455078125" w:line="242.7132511138916" w:lineRule="auto"/>
        <w:ind w:left="19.937591552734375" w:right="4988.492431640625" w:hanging="1.3451385498046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96.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East Wales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9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40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9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0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0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1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7148.9202880859375" w:header="0" w:footer="720"/>
          <w:cols w:equalWidth="0" w:num="2">
            <w:col w:space="0" w:w="1900"/>
            <w:col w:space="0" w:w="190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Cardiff and Vale of Glamorgan Flintshire and Wrexham Monmouthshire and Newport Powys </w:t>
      </w:r>
    </w:p>
    <w:p w:rsidR="00000000" w:rsidDel="00000000" w:rsidP="00000000" w:rsidRDefault="00000000" w:rsidRPr="00000000" w14:paraId="000009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211181640625" w:line="242.75882720947266" w:lineRule="auto"/>
        <w:ind w:left="18.592453002929688" w:right="5051.6937255859375" w:hanging="1.008911132812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97.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East Yorkshire and Northern Lincolnshire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41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9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1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1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East Riding of Yorkshire </w:t>
      </w:r>
    </w:p>
    <w:p w:rsidR="00000000" w:rsidDel="00000000" w:rsidP="00000000" w:rsidRDefault="00000000" w:rsidRPr="00000000" w14:paraId="000009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6806.805419921875" w:header="0" w:footer="720"/>
          <w:cols w:equalWidth="0" w:num="2">
            <w:col w:space="0" w:w="2060"/>
            <w:col w:space="0" w:w="20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Kingston upon Hull, City of North and North East Lincolnshire </w:t>
      </w:r>
    </w:p>
    <w:p w:rsidR="00000000" w:rsidDel="00000000" w:rsidP="00000000" w:rsidRDefault="00000000" w:rsidRPr="00000000" w14:paraId="000009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211181640625" w:line="242.80563354492188" w:lineRule="auto"/>
        <w:ind w:left="14.8931884765625" w:right="4960.0738525390625" w:firstLine="3.6992645263671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98.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Eastern Scotland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41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1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1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1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1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8650360107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7414.654541015625" w:header="0" w:footer="720"/>
          <w:cols w:equalWidth="0" w:num="2">
            <w:col w:space="0" w:w="1760"/>
            <w:col w:space="0" w:w="17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Angus and Dundee City Clackmannanshire and Fife East Lothian and Midlothian Edinburgh, City of </w:t>
      </w:r>
    </w:p>
    <w:p w:rsidR="00000000" w:rsidDel="00000000" w:rsidP="00000000" w:rsidRDefault="00000000" w:rsidRPr="00000000" w14:paraId="00000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119934082031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55/82</w:t>
      </w:r>
    </w:p>
    <w:p w:rsidR="00000000" w:rsidDel="00000000" w:rsidP="00000000" w:rsidRDefault="00000000" w:rsidRPr="00000000" w14:paraId="000009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41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9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2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2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2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Falkirk </w:t>
      </w:r>
    </w:p>
    <w:p w:rsidR="00000000" w:rsidDel="00000000" w:rsidP="00000000" w:rsidRDefault="00000000" w:rsidRPr="00000000" w14:paraId="000009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Perth &amp; Kinross and Stirling Scottish Borders </w:t>
      </w:r>
    </w:p>
    <w:p w:rsidR="00000000" w:rsidDel="00000000" w:rsidP="00000000" w:rsidRDefault="00000000" w:rsidRPr="00000000" w14:paraId="000009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8066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7440.740966796875" w:header="0" w:footer="720"/>
          <w:cols w:equalWidth="0" w:num="2">
            <w:col w:space="0" w:w="1740"/>
            <w:col w:space="0" w:w="17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West Lothian </w:t>
      </w:r>
    </w:p>
    <w:p w:rsidR="00000000" w:rsidDel="00000000" w:rsidP="00000000" w:rsidRDefault="00000000" w:rsidRPr="00000000" w14:paraId="000009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642578125" w:line="242.80614852905273" w:lineRule="auto"/>
        <w:ind w:left="19.937591552734375" w:right="5396.8536376953125" w:hanging="1.3451385498046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99.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Essex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9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42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9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2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2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2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2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2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Essex Haven Gateway Essex Thames Gateway Heart of Essex </w:t>
      </w:r>
    </w:p>
    <w:p w:rsidR="00000000" w:rsidDel="00000000" w:rsidP="00000000" w:rsidRDefault="00000000" w:rsidRPr="00000000" w14:paraId="000009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18933105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Southend-on-Sea </w:t>
      </w:r>
    </w:p>
    <w:p w:rsidR="00000000" w:rsidDel="00000000" w:rsidP="00000000" w:rsidRDefault="00000000" w:rsidRPr="00000000" w14:paraId="000009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Thurrock </w:t>
      </w:r>
    </w:p>
    <w:p w:rsidR="00000000" w:rsidDel="00000000" w:rsidP="00000000" w:rsidRDefault="00000000" w:rsidRPr="00000000" w14:paraId="000009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7765.6640625" w:header="0" w:footer="720"/>
          <w:cols w:equalWidth="0" w:num="2">
            <w:col w:space="0" w:w="1580"/>
            <w:col w:space="0" w:w="158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West Essex </w:t>
      </w:r>
    </w:p>
    <w:p w:rsidR="00000000" w:rsidDel="00000000" w:rsidP="00000000" w:rsidRDefault="00000000" w:rsidRPr="00000000" w14:paraId="000009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5205078125" w:line="242.75882720947266" w:lineRule="auto"/>
        <w:ind w:left="16.070175170898438" w:right="4952.6055908203125" w:firstLine="9.24819946289062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100.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Gloucestershire, Wiltshire and Bath/Bristol area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9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42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9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3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3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3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3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1.94486618041992"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Bath and North East Somerset, North Somerset and South Gloucestershire </w:t>
      </w:r>
    </w:p>
    <w:p w:rsidR="00000000" w:rsidDel="00000000" w:rsidP="00000000" w:rsidRDefault="00000000" w:rsidRPr="00000000" w14:paraId="000009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54211425781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Bristol, City of </w:t>
      </w:r>
    </w:p>
    <w:p w:rsidR="00000000" w:rsidDel="00000000" w:rsidP="00000000" w:rsidRDefault="00000000" w:rsidRPr="00000000" w14:paraId="000009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Gloucestershire </w:t>
      </w:r>
    </w:p>
    <w:p w:rsidR="00000000" w:rsidDel="00000000" w:rsidP="00000000" w:rsidRDefault="00000000" w:rsidRPr="00000000" w14:paraId="000009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Swindon </w:t>
      </w:r>
    </w:p>
    <w:p w:rsidR="00000000" w:rsidDel="00000000" w:rsidP="00000000" w:rsidRDefault="00000000" w:rsidRPr="00000000" w14:paraId="000009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5453.14697265625" w:header="0" w:footer="720"/>
          <w:cols w:equalWidth="0" w:num="2">
            <w:col w:space="0" w:w="2740"/>
            <w:col w:space="0" w:w="27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Wiltshire </w:t>
      </w:r>
    </w:p>
    <w:p w:rsidR="00000000" w:rsidDel="00000000" w:rsidP="00000000" w:rsidRDefault="00000000" w:rsidRPr="00000000" w14:paraId="000009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551025390625"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101.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Greater Manchester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t>
      </w:r>
    </w:p>
    <w:p w:rsidR="00000000" w:rsidDel="00000000" w:rsidP="00000000" w:rsidRDefault="00000000" w:rsidRPr="00000000" w14:paraId="000009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4.893188476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which your organisation is able to provide services. Tick all that apply. </w:t>
      </w:r>
    </w:p>
    <w:tbl>
      <w:tblPr>
        <w:tblStyle w:val="Table434"/>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9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56/82</w:t>
      </w:r>
    </w:p>
    <w:p w:rsidR="00000000" w:rsidDel="00000000" w:rsidP="00000000" w:rsidRDefault="00000000" w:rsidRPr="00000000" w14:paraId="000009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43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9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3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3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3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3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306259155273"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6999.8883056640625" w:header="0" w:footer="720"/>
          <w:cols w:equalWidth="0" w:num="2">
            <w:col w:space="0" w:w="1960"/>
            <w:col w:space="0" w:w="19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Greater Manchester North East Greater Manchester North West Greater Manchester South East Greater Manchester South West Manchester </w:t>
      </w:r>
    </w:p>
    <w:p w:rsidR="00000000" w:rsidDel="00000000" w:rsidP="00000000" w:rsidRDefault="00000000" w:rsidRPr="00000000" w14:paraId="000009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306396484375" w:line="242.75968551635742" w:lineRule="auto"/>
        <w:ind w:left="16.070175170898438" w:right="5061.68212890625" w:firstLine="9.24819946289062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102.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Hampshire and Isle of Wight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9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44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9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4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4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4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4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4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879299163818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Central Hampshire Isle of Wight </w:t>
      </w:r>
    </w:p>
    <w:p w:rsidR="00000000" w:rsidDel="00000000" w:rsidP="00000000" w:rsidRDefault="00000000" w:rsidRPr="00000000" w14:paraId="000009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327636718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North Hampshire Portsmouth </w:t>
      </w:r>
    </w:p>
    <w:p w:rsidR="00000000" w:rsidDel="00000000" w:rsidP="00000000" w:rsidRDefault="00000000" w:rsidRPr="00000000" w14:paraId="000009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45605468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8328.775024414062" w:header="0" w:footer="720"/>
          <w:cols w:equalWidth="0" w:num="2">
            <w:col w:space="0" w:w="1300"/>
            <w:col w:space="0" w:w="130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South Hampshire Southampton </w:t>
      </w:r>
    </w:p>
    <w:p w:rsidR="00000000" w:rsidDel="00000000" w:rsidP="00000000" w:rsidRDefault="00000000" w:rsidRPr="00000000" w14:paraId="000009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211181640625" w:line="242.75882720947266" w:lineRule="auto"/>
        <w:ind w:left="16.070175170898438" w:right="4887.2979736328125" w:firstLine="9.24819946289062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103.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Herefordshire, Worcestershire and Warwickshire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9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44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9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4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4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963714599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Herefordshire, County of Warwickshire </w:t>
      </w:r>
    </w:p>
    <w:p w:rsidR="00000000" w:rsidDel="00000000" w:rsidP="00000000" w:rsidRDefault="00000000" w:rsidRPr="00000000" w14:paraId="000009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761230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7786.3958740234375" w:header="0" w:footer="720"/>
          <w:cols w:equalWidth="0" w:num="2">
            <w:col w:space="0" w:w="1580"/>
            <w:col w:space="0" w:w="158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Worcestershire </w:t>
      </w:r>
    </w:p>
    <w:p w:rsidR="00000000" w:rsidDel="00000000" w:rsidP="00000000" w:rsidRDefault="00000000" w:rsidRPr="00000000" w14:paraId="000009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551025390625" w:line="242.75922775268555" w:lineRule="auto"/>
        <w:ind w:left="20.946502685546875" w:right="4999.7100830078125" w:firstLine="4.3718719482421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104.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Highlands and Islands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9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44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9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5598.123779296875" w:header="0" w:footer="720"/>
          <w:cols w:equalWidth="0" w:num="2">
            <w:col w:space="0" w:w="2660"/>
            <w:col w:space="0" w:w="26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Caithness &amp; Sutherland and Ross &amp; Cromarty </w:t>
      </w:r>
    </w:p>
    <w:p w:rsidR="00000000" w:rsidDel="00000000" w:rsidP="00000000" w:rsidRDefault="00000000" w:rsidRPr="00000000" w14:paraId="000009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3.103332519531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57/82</w:t>
      </w:r>
    </w:p>
    <w:p w:rsidR="00000000" w:rsidDel="00000000" w:rsidP="00000000" w:rsidRDefault="00000000" w:rsidRPr="00000000" w14:paraId="000009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45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9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5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5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5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5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Eilean Siar (Western Isles) </w:t>
      </w:r>
    </w:p>
    <w:p w:rsidR="00000000" w:rsidDel="00000000" w:rsidP="00000000" w:rsidRDefault="00000000" w:rsidRPr="00000000" w14:paraId="000009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2.01330184936523"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Inverness &amp; Nairn and Moray, Badenoch &amp; Strathspey </w:t>
      </w:r>
    </w:p>
    <w:p w:rsidR="00000000" w:rsidDel="00000000" w:rsidP="00000000" w:rsidRDefault="00000000" w:rsidRPr="00000000" w14:paraId="000009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476806640625" w:line="242.01330184936523"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Lochaber, Skye &amp; Lochalsh, Arran &amp; Cumbrae and Argyll &amp; Bute </w:t>
      </w:r>
    </w:p>
    <w:p w:rsidR="00000000" w:rsidDel="00000000" w:rsidP="00000000" w:rsidRDefault="00000000" w:rsidRPr="00000000" w14:paraId="000009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4768066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Orkney Islands </w:t>
      </w:r>
    </w:p>
    <w:p w:rsidR="00000000" w:rsidDel="00000000" w:rsidP="00000000" w:rsidRDefault="00000000" w:rsidRPr="00000000" w14:paraId="000009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5550.9454345703125" w:header="0" w:footer="720"/>
          <w:cols w:equalWidth="0" w:num="2">
            <w:col w:space="0" w:w="2700"/>
            <w:col w:space="0" w:w="270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Shetland Islands </w:t>
      </w:r>
    </w:p>
    <w:p w:rsidR="00000000" w:rsidDel="00000000" w:rsidP="00000000" w:rsidRDefault="00000000" w:rsidRPr="00000000" w14:paraId="000009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642578125" w:line="242.7132511138916" w:lineRule="auto"/>
        <w:ind w:left="14.8931884765625" w:right="4960.0738525390625" w:firstLine="10.425186157226562"/>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105.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Inner London - East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9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45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9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5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5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5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5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13516998291"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Hackney and Newham Haringey and Islington Lambeth </w:t>
      </w:r>
    </w:p>
    <w:p w:rsidR="00000000" w:rsidDel="00000000" w:rsidP="00000000" w:rsidRDefault="00000000" w:rsidRPr="00000000" w14:paraId="000009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00415039062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7626.416015625" w:header="0" w:footer="720"/>
          <w:cols w:equalWidth="0" w:num="2">
            <w:col w:space="0" w:w="1660"/>
            <w:col w:space="0" w:w="16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Lewisham and Southwark Tower Hamlets </w:t>
      </w:r>
    </w:p>
    <w:p w:rsidR="00000000" w:rsidDel="00000000" w:rsidP="00000000" w:rsidRDefault="00000000" w:rsidRPr="00000000" w14:paraId="000009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211181640625" w:line="242.80526161193848" w:lineRule="auto"/>
        <w:ind w:left="14.8931884765625" w:right="4960.0738525390625" w:firstLine="0"/>
        <w:jc w:val="center"/>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106.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Inner London - West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9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46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9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6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6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6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Camden and City of London </w:t>
      </w:r>
    </w:p>
    <w:p w:rsidR="00000000" w:rsidDel="00000000" w:rsidP="00000000" w:rsidRDefault="00000000" w:rsidRPr="00000000" w14:paraId="000009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2.0136451721191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Kensington &amp; Chelsea and Hammersmith &amp; Fulham </w:t>
      </w:r>
    </w:p>
    <w:p w:rsidR="00000000" w:rsidDel="00000000" w:rsidP="00000000" w:rsidRDefault="00000000" w:rsidRPr="00000000" w14:paraId="000009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3989868164062"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Wandsworth </w:t>
      </w:r>
    </w:p>
    <w:p w:rsidR="00000000" w:rsidDel="00000000" w:rsidP="00000000" w:rsidRDefault="00000000" w:rsidRPr="00000000" w14:paraId="000009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5814.102783203125" w:header="0" w:footer="720"/>
          <w:cols w:equalWidth="0" w:num="2">
            <w:col w:space="0" w:w="2560"/>
            <w:col w:space="0" w:w="25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Westminster </w:t>
      </w:r>
    </w:p>
    <w:p w:rsidR="00000000" w:rsidDel="00000000" w:rsidP="00000000" w:rsidRDefault="00000000" w:rsidRPr="00000000" w14:paraId="000009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41363525390625"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107.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Kent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w:t>
      </w:r>
    </w:p>
    <w:p w:rsidR="00000000" w:rsidDel="00000000" w:rsidP="00000000" w:rsidRDefault="00000000" w:rsidRPr="00000000" w14:paraId="000009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organisation is able to provide services. Tick all that apply. </w:t>
      </w:r>
    </w:p>
    <w:tbl>
      <w:tblPr>
        <w:tblStyle w:val="Table464"/>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9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26.022993723551433"/>
          <w:szCs w:val="26.022993723551433"/>
          <w:u w:val="none"/>
          <w:shd w:fill="auto" w:val="clear"/>
          <w:vertAlign w:val="subscript"/>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East Kent </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bscript"/>
          <w:rtl w:val="0"/>
        </w:rPr>
        <w:t xml:space="preserve">©</w:t>
      </w:r>
      <w:r w:rsidDel="00000000" w:rsidR="00000000" w:rsidRPr="00000000">
        <w:rPr>
          <w:rFonts w:ascii="Arial" w:cs="Arial" w:eastAsia="Arial" w:hAnsi="Arial"/>
          <w:b w:val="0"/>
          <w:i w:val="0"/>
          <w:smallCaps w:val="0"/>
          <w:strike w:val="0"/>
          <w:color w:val="808080"/>
          <w:sz w:val="26.022993723551433"/>
          <w:szCs w:val="26.022993723551433"/>
          <w:u w:val="single"/>
          <w:shd w:fill="auto" w:val="clear"/>
          <w:vertAlign w:val="subscript"/>
          <w:rtl w:val="0"/>
        </w:rPr>
        <w:t xml:space="preserve"> 2022 N</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bscript"/>
          <w:rtl w:val="0"/>
        </w:rPr>
        <w:t xml:space="preserve">QC Ltd All Rights Reserved. 58/82</w:t>
      </w:r>
    </w:p>
    <w:p w:rsidR="00000000" w:rsidDel="00000000" w:rsidP="00000000" w:rsidRDefault="00000000" w:rsidRPr="00000000" w14:paraId="000009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26.022993723551433"/>
          <w:szCs w:val="26.022993723551433"/>
          <w:u w:val="none"/>
          <w:shd w:fill="auto" w:val="clear"/>
          <w:vertAlign w:val="subscript"/>
        </w:rPr>
      </w:pPr>
      <w:r w:rsidDel="00000000" w:rsidR="00000000" w:rsidRPr="00000000">
        <w:rPr>
          <w:rtl w:val="0"/>
        </w:rPr>
      </w:r>
    </w:p>
    <w:tbl>
      <w:tblPr>
        <w:tblStyle w:val="Table46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26.022993723551433"/>
                <w:szCs w:val="26.022993723551433"/>
                <w:u w:val="none"/>
                <w:shd w:fill="auto" w:val="clear"/>
                <w:vertAlign w:val="subscript"/>
              </w:rPr>
            </w:pPr>
            <w:r w:rsidDel="00000000" w:rsidR="00000000" w:rsidRPr="00000000">
              <w:rPr>
                <w:rtl w:val="0"/>
              </w:rPr>
            </w:r>
          </w:p>
        </w:tc>
      </w:tr>
    </w:tbl>
    <w:p w:rsidR="00000000" w:rsidDel="00000000" w:rsidP="00000000" w:rsidRDefault="00000000" w:rsidRPr="00000000" w14:paraId="000009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6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6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6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6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East Kent </w:t>
      </w:r>
    </w:p>
    <w:p w:rsidR="00000000" w:rsidDel="00000000" w:rsidP="00000000" w:rsidRDefault="00000000" w:rsidRPr="00000000" w14:paraId="00000A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Kent Thames Gateway Medway </w:t>
      </w:r>
    </w:p>
    <w:p w:rsidR="00000000" w:rsidDel="00000000" w:rsidP="00000000" w:rsidRDefault="00000000" w:rsidRPr="00000000" w14:paraId="00000A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8066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Mid Kent </w:t>
      </w:r>
    </w:p>
    <w:p w:rsidR="00000000" w:rsidDel="00000000" w:rsidP="00000000" w:rsidRDefault="00000000" w:rsidRPr="00000000" w14:paraId="00000A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7917.67333984375" w:header="0" w:footer="720"/>
          <w:cols w:equalWidth="0" w:num="2">
            <w:col w:space="0" w:w="1500"/>
            <w:col w:space="0" w:w="150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West Kent </w:t>
      </w:r>
    </w:p>
    <w:p w:rsidR="00000000" w:rsidDel="00000000" w:rsidP="00000000" w:rsidRDefault="00000000" w:rsidRPr="00000000" w14:paraId="00000A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642578125" w:line="242.80614852905273" w:lineRule="auto"/>
        <w:ind w:left="19.937591552734375" w:right="4892.4078369140625" w:firstLine="5.3807830810546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108.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Lancashire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A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47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A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7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7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7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7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7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879299163818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Blackburn with Darwen Blackpool </w:t>
      </w:r>
    </w:p>
    <w:p w:rsidR="00000000" w:rsidDel="00000000" w:rsidP="00000000" w:rsidRDefault="00000000" w:rsidRPr="00000000" w14:paraId="00000A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327636718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Chorley and West Lancashire East Lancashire </w:t>
      </w:r>
    </w:p>
    <w:p w:rsidR="00000000" w:rsidDel="00000000" w:rsidP="00000000" w:rsidRDefault="00000000" w:rsidRPr="00000000" w14:paraId="00000A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45605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Lancaster and Wyre </w:t>
      </w:r>
    </w:p>
    <w:p w:rsidR="00000000" w:rsidDel="00000000" w:rsidP="00000000" w:rsidRDefault="00000000" w:rsidRPr="00000000" w14:paraId="00000A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7237.6861572265625" w:header="0" w:footer="720"/>
          <w:cols w:equalWidth="0" w:num="2">
            <w:col w:space="0" w:w="1840"/>
            <w:col w:space="0" w:w="18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Mid Lancashire </w:t>
      </w:r>
    </w:p>
    <w:p w:rsidR="00000000" w:rsidDel="00000000" w:rsidP="00000000" w:rsidRDefault="00000000" w:rsidRPr="00000000" w14:paraId="00000A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5205078125" w:line="242.75882720947266" w:lineRule="auto"/>
        <w:ind w:left="18.592453002929688" w:right="4919.09423828125" w:firstLine="6.7259216308593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109.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Leicestershire, Rutland and Northamptonshire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A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47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A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7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7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7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Leicester </w:t>
      </w:r>
    </w:p>
    <w:p w:rsidR="00000000" w:rsidDel="00000000" w:rsidP="00000000" w:rsidRDefault="00000000" w:rsidRPr="00000000" w14:paraId="00000A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683.948650360107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7123.9605712890625" w:header="0" w:footer="720"/>
          <w:cols w:equalWidth="0" w:num="2">
            <w:col w:space="0" w:w="1900"/>
            <w:col w:space="0" w:w="190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Leicestershire CC and Rutland North Northamptonshire West Northamptonshire </w:t>
      </w:r>
    </w:p>
    <w:p w:rsidR="00000000" w:rsidDel="00000000" w:rsidP="00000000" w:rsidRDefault="00000000" w:rsidRPr="00000000" w14:paraId="00000A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21148681640625" w:line="242.80569076538086" w:lineRule="auto"/>
        <w:ind w:left="17.247238159179688" w:right="5133.1402587890625" w:firstLine="8.0711364746093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110.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Lincolnshire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A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48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A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9012.8173828125" w:header="0" w:footer="720"/>
          <w:cols w:equalWidth="0" w:num="2">
            <w:col w:space="0" w:w="960"/>
            <w:col w:space="0" w:w="9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Lincolnshire </w:t>
      </w:r>
    </w:p>
    <w:p w:rsidR="00000000" w:rsidDel="00000000" w:rsidP="00000000" w:rsidRDefault="00000000" w:rsidRPr="00000000" w14:paraId="00000A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884582519531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59/82</w:t>
      </w:r>
    </w:p>
    <w:p w:rsidR="00000000" w:rsidDel="00000000" w:rsidP="00000000" w:rsidRDefault="00000000" w:rsidRPr="00000000" w14:paraId="00000A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80614852905273" w:lineRule="auto"/>
        <w:ind w:left="17.247238159179688" w:right="5217.2149658203125" w:firstLine="8.0711364746093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111.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Merseyside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A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48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A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8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8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8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East Merseyside Liverpool </w:t>
      </w:r>
    </w:p>
    <w:p w:rsidR="00000000" w:rsidDel="00000000" w:rsidP="00000000" w:rsidRDefault="00000000" w:rsidRPr="00000000" w14:paraId="00000A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189941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Sefton </w:t>
      </w:r>
    </w:p>
    <w:p w:rsidR="00000000" w:rsidDel="00000000" w:rsidP="00000000" w:rsidRDefault="00000000" w:rsidRPr="00000000" w14:paraId="00000A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8543.464965820312" w:header="0" w:footer="720"/>
          <w:cols w:equalWidth="0" w:num="2">
            <w:col w:space="0" w:w="1200"/>
            <w:col w:space="0" w:w="120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Wirral </w:t>
      </w:r>
    </w:p>
    <w:p w:rsidR="00000000" w:rsidDel="00000000" w:rsidP="00000000" w:rsidRDefault="00000000" w:rsidRPr="00000000" w14:paraId="00000A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41455078125" w:line="242.75968551635742" w:lineRule="auto"/>
        <w:ind w:left="20.946502685546875" w:right="4910.2740478515625" w:firstLine="4.3718719482421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112.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North Eastern Scotland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A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48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A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6793.4814453125" w:header="0" w:footer="720"/>
          <w:cols w:equalWidth="0" w:num="2">
            <w:col w:space="0" w:w="2060"/>
            <w:col w:space="0" w:w="20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Aberdeen City and Aberdeenshire </w:t>
      </w:r>
    </w:p>
    <w:p w:rsidR="00000000" w:rsidDel="00000000" w:rsidP="00000000" w:rsidRDefault="00000000" w:rsidRPr="00000000" w14:paraId="00000A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58154296875" w:line="242.80526161193848" w:lineRule="auto"/>
        <w:ind w:left="14.8931884765625" w:right="4960.0738525390625" w:firstLine="10.425186157226562"/>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113.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Northern Ireland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A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48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A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8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8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8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9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Belfast </w:t>
      </w:r>
    </w:p>
    <w:p w:rsidR="00000000" w:rsidDel="00000000" w:rsidP="00000000" w:rsidRDefault="00000000" w:rsidRPr="00000000" w14:paraId="00000A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East of Northern Ireland </w:t>
      </w:r>
    </w:p>
    <w:p w:rsidR="00000000" w:rsidDel="00000000" w:rsidP="00000000" w:rsidRDefault="00000000" w:rsidRPr="00000000" w14:paraId="00000A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North of Northern Ireland </w:t>
      </w:r>
    </w:p>
    <w:p w:rsidR="00000000" w:rsidDel="00000000" w:rsidP="00000000" w:rsidRDefault="00000000" w:rsidRPr="00000000" w14:paraId="00000A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354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Outer Belfast </w:t>
      </w:r>
    </w:p>
    <w:p w:rsidR="00000000" w:rsidDel="00000000" w:rsidP="00000000" w:rsidRDefault="00000000" w:rsidRPr="00000000" w14:paraId="00000A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6641.2841796875" w:header="0" w:footer="720"/>
          <w:cols w:equalWidth="0" w:num="2">
            <w:col w:space="0" w:w="2140"/>
            <w:col w:space="0" w:w="21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West and South of Northern Ireland </w:t>
      </w:r>
    </w:p>
    <w:p w:rsidR="00000000" w:rsidDel="00000000" w:rsidP="00000000" w:rsidRDefault="00000000" w:rsidRPr="00000000" w14:paraId="00000A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41363525390625" w:line="242.75922775268555" w:lineRule="auto"/>
        <w:ind w:left="16.238327026367188" w:right="4925.731201171875" w:firstLine="9.080047607421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114.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Northumberland and Tyne and Wear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A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49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A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9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9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8650360107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Northumberland Sunderland </w:t>
      </w:r>
    </w:p>
    <w:p w:rsidR="00000000" w:rsidDel="00000000" w:rsidP="00000000" w:rsidRDefault="00000000" w:rsidRPr="00000000" w14:paraId="00000A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189636230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8594.509887695312" w:header="0" w:footer="720"/>
          <w:cols w:equalWidth="0" w:num="2">
            <w:col w:space="0" w:w="1160"/>
            <w:col w:space="0" w:w="11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Tyneside </w:t>
      </w:r>
    </w:p>
    <w:p w:rsidR="00000000" w:rsidDel="00000000" w:rsidP="00000000" w:rsidRDefault="00000000" w:rsidRPr="00000000" w14:paraId="00000A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41363525390625" w:line="240" w:lineRule="auto"/>
        <w:ind w:left="25.318374633789062"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115.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Outer London - East </w:t>
      </w:r>
    </w:p>
    <w:p w:rsidR="00000000" w:rsidDel="00000000" w:rsidP="00000000" w:rsidRDefault="00000000" w:rsidRPr="00000000" w14:paraId="00000A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18.592453002929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and North East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w:t>
      </w:r>
    </w:p>
    <w:p w:rsidR="00000000" w:rsidDel="00000000" w:rsidP="00000000" w:rsidRDefault="00000000" w:rsidRPr="00000000" w14:paraId="00000A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60/82</w:t>
      </w:r>
    </w:p>
    <w:p w:rsidR="00000000" w:rsidDel="00000000" w:rsidP="00000000" w:rsidRDefault="00000000" w:rsidRPr="00000000" w14:paraId="00000A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80614852905273" w:lineRule="auto"/>
        <w:ind w:left="17.415390014648438" w:right="4937.74169921875" w:firstLine="1.1770629882812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and North East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A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49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A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9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9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9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Barking &amp; Dagenham and Havering Bexley and Greenwich </w:t>
      </w:r>
    </w:p>
    <w:p w:rsidR="00000000" w:rsidDel="00000000" w:rsidP="00000000" w:rsidRDefault="00000000" w:rsidRPr="00000000" w14:paraId="00000A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8066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Enfield </w:t>
      </w:r>
    </w:p>
    <w:p w:rsidR="00000000" w:rsidDel="00000000" w:rsidP="00000000" w:rsidRDefault="00000000" w:rsidRPr="00000000" w14:paraId="00000A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964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6641.6595458984375" w:header="0" w:footer="720"/>
          <w:cols w:equalWidth="0" w:num="2">
            <w:col w:space="0" w:w="2140"/>
            <w:col w:space="0" w:w="21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Redbridge and Waltham Forest </w:t>
      </w:r>
    </w:p>
    <w:p w:rsidR="00000000" w:rsidDel="00000000" w:rsidP="00000000" w:rsidRDefault="00000000" w:rsidRPr="00000000" w14:paraId="00000A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41455078125" w:line="242.75968551635742" w:lineRule="auto"/>
        <w:ind w:left="18.592453002929688" w:right="5146.319580078125" w:firstLine="6.7259216308593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116.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Outer London - West and North West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A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49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A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9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0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0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0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Barnet </w:t>
      </w:r>
    </w:p>
    <w:p w:rsidR="00000000" w:rsidDel="00000000" w:rsidP="00000000" w:rsidRDefault="00000000" w:rsidRPr="00000000" w14:paraId="00000A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Brent </w:t>
      </w:r>
    </w:p>
    <w:p w:rsidR="00000000" w:rsidDel="00000000" w:rsidP="00000000" w:rsidRDefault="00000000" w:rsidRPr="00000000" w14:paraId="00000A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Ealing </w:t>
      </w:r>
    </w:p>
    <w:p w:rsidR="00000000" w:rsidDel="00000000" w:rsidP="00000000" w:rsidRDefault="00000000" w:rsidRPr="00000000" w14:paraId="00000A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354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Harrow and Hillingdon </w:t>
      </w:r>
    </w:p>
    <w:p w:rsidR="00000000" w:rsidDel="00000000" w:rsidP="00000000" w:rsidRDefault="00000000" w:rsidRPr="00000000" w14:paraId="00000A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6244.632568359375" w:header="0" w:footer="720"/>
          <w:cols w:equalWidth="0" w:num="2">
            <w:col w:space="0" w:w="2340"/>
            <w:col w:space="0" w:w="23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Hounslow and Richmond upon Thames </w:t>
      </w:r>
    </w:p>
    <w:p w:rsidR="00000000" w:rsidDel="00000000" w:rsidP="00000000" w:rsidRDefault="00000000" w:rsidRPr="00000000" w14:paraId="00000A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413330078125" w:line="242.71236419677734" w:lineRule="auto"/>
        <w:ind w:left="14.8931884765625" w:right="4864.403076171875" w:firstLine="10.425186157226562"/>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117.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Outer London - South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A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50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A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0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0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Bromley </w:t>
      </w:r>
    </w:p>
    <w:p w:rsidR="00000000" w:rsidDel="00000000" w:rsidP="00000000" w:rsidRDefault="00000000" w:rsidRPr="00000000" w14:paraId="00000A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Croydon </w:t>
      </w:r>
    </w:p>
    <w:p w:rsidR="00000000" w:rsidDel="00000000" w:rsidP="00000000" w:rsidRDefault="00000000" w:rsidRPr="00000000" w14:paraId="00000A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5879.9237060546875" w:header="0" w:footer="720"/>
          <w:cols w:equalWidth="0" w:num="2">
            <w:col w:space="0" w:w="2520"/>
            <w:col w:space="0" w:w="252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Merton, Kingston upon Thames and Sutton </w:t>
      </w:r>
    </w:p>
    <w:p w:rsidR="00000000" w:rsidDel="00000000" w:rsidP="00000000" w:rsidRDefault="00000000" w:rsidRPr="00000000" w14:paraId="00000A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551025390625" w:line="242.75922775268555" w:lineRule="auto"/>
        <w:ind w:left="17.415390014648438" w:right="5081.868896484375" w:firstLine="7.902984619140625"/>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118.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Shropshire and Staffordshire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tbl>
      <w:tblPr>
        <w:tblStyle w:val="Table506"/>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A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5.47470092773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Shropshire CC </w:t>
      </w:r>
    </w:p>
    <w:tbl>
      <w:tblPr>
        <w:tblStyle w:val="Table507"/>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tl w:val="0"/>
              </w:rPr>
            </w:r>
          </w:p>
        </w:tc>
      </w:tr>
    </w:tbl>
    <w:p w:rsidR="00000000" w:rsidDel="00000000" w:rsidP="00000000" w:rsidRDefault="00000000" w:rsidRPr="00000000" w14:paraId="00000A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5.47470092773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Staffordshire CC </w:t>
      </w:r>
    </w:p>
    <w:tbl>
      <w:tblPr>
        <w:tblStyle w:val="Table508"/>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4.512939453125" w:firstLine="0"/>
              <w:jc w:val="righ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w:t>
            </w:r>
          </w:p>
        </w:tc>
      </w:tr>
    </w:tbl>
    <w:p w:rsidR="00000000" w:rsidDel="00000000" w:rsidP="00000000" w:rsidRDefault="00000000" w:rsidRPr="00000000" w14:paraId="00000A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C</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L</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td</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ke</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Al</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l</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R</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ig</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h</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ts</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R</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e</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perscript"/>
          <w:rtl w:val="0"/>
        </w:rPr>
        <w:t xml:space="preserve">se</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rved. 61/82</w:t>
      </w:r>
    </w:p>
    <w:p w:rsidR="00000000" w:rsidDel="00000000" w:rsidP="00000000" w:rsidRDefault="00000000" w:rsidRPr="00000000" w14:paraId="00000A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50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A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1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8303.065185546875" w:header="0" w:footer="720"/>
          <w:cols w:equalWidth="0" w:num="2">
            <w:col w:space="0" w:w="1320"/>
            <w:col w:space="0" w:w="132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Stoke-on-Trent Telford and Wrekin </w:t>
      </w:r>
    </w:p>
    <w:p w:rsidR="00000000" w:rsidDel="00000000" w:rsidP="00000000" w:rsidRDefault="00000000" w:rsidRPr="00000000" w14:paraId="00000A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21240234375" w:line="242.80614852905273" w:lineRule="auto"/>
        <w:ind w:left="14.8931884765625" w:right="4960.0738525390625" w:firstLine="10.425186157226562"/>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119.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South Yorkshire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A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51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A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1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6499.25537109375" w:header="0" w:footer="720"/>
          <w:cols w:equalWidth="0" w:num="2">
            <w:col w:space="0" w:w="2220"/>
            <w:col w:space="0" w:w="222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Barnsley, Doncaster and Rotherham Sheffield </w:t>
      </w:r>
    </w:p>
    <w:p w:rsidR="00000000" w:rsidDel="00000000" w:rsidP="00000000" w:rsidRDefault="00000000" w:rsidRPr="00000000" w14:paraId="00000A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21240234375" w:line="242.75968551635742" w:lineRule="auto"/>
        <w:ind w:left="19.265060424804688" w:right="5039.4110107421875" w:firstLine="6.0533142089843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120.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South Western Scotland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A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51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A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1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1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1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1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1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1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2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Dumfries &amp; Galloway </w:t>
      </w:r>
    </w:p>
    <w:p w:rsidR="00000000" w:rsidDel="00000000" w:rsidP="00000000" w:rsidRDefault="00000000" w:rsidRPr="00000000" w14:paraId="00000A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East Ayrshire and North Ayrshire mainland </w:t>
      </w:r>
    </w:p>
    <w:p w:rsidR="00000000" w:rsidDel="00000000" w:rsidP="00000000" w:rsidRDefault="00000000" w:rsidRPr="00000000" w14:paraId="00000A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2.01330184936523"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East Dunbartonshire, West Dunbartonshire and Helensburgh &amp; Lomond </w:t>
      </w:r>
    </w:p>
    <w:p w:rsidR="00000000" w:rsidDel="00000000" w:rsidP="00000000" w:rsidRDefault="00000000" w:rsidRPr="00000000" w14:paraId="00000A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4774169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Glasgow City </w:t>
      </w:r>
    </w:p>
    <w:p w:rsidR="00000000" w:rsidDel="00000000" w:rsidP="00000000" w:rsidRDefault="00000000" w:rsidRPr="00000000" w14:paraId="00000A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Inverclyde, East Renfrewshire and </w:t>
      </w:r>
    </w:p>
    <w:p w:rsidR="00000000" w:rsidDel="00000000" w:rsidP="00000000" w:rsidRDefault="00000000" w:rsidRPr="00000000" w14:paraId="00000A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6022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Renfrewshire </w:t>
      </w:r>
    </w:p>
    <w:p w:rsidR="00000000" w:rsidDel="00000000" w:rsidP="00000000" w:rsidRDefault="00000000" w:rsidRPr="00000000" w14:paraId="00000A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North Lanarkshire </w:t>
      </w:r>
    </w:p>
    <w:p w:rsidR="00000000" w:rsidDel="00000000" w:rsidP="00000000" w:rsidRDefault="00000000" w:rsidRPr="00000000" w14:paraId="00000A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South Ayrshire </w:t>
      </w:r>
    </w:p>
    <w:p w:rsidR="00000000" w:rsidDel="00000000" w:rsidP="00000000" w:rsidRDefault="00000000" w:rsidRPr="00000000" w14:paraId="00000A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5437.220458984375" w:header="0" w:footer="720"/>
          <w:cols w:equalWidth="0" w:num="2">
            <w:col w:space="0" w:w="2740"/>
            <w:col w:space="0" w:w="27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South Lanarkshire </w:t>
      </w:r>
    </w:p>
    <w:p w:rsidR="00000000" w:rsidDel="00000000" w:rsidP="00000000" w:rsidRDefault="00000000" w:rsidRPr="00000000" w14:paraId="00000A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551025390625" w:line="242.75922775268555" w:lineRule="auto"/>
        <w:ind w:left="16.238327026367188" w:right="4975.5670166015625" w:firstLine="9.080047607421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Surrey, East and West Sussex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A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52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A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2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2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8650360107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Brighton and Hove East Surrey </w:t>
      </w:r>
    </w:p>
    <w:p w:rsidR="00000000" w:rsidDel="00000000" w:rsidP="00000000" w:rsidRDefault="00000000" w:rsidRPr="00000000" w14:paraId="00000A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761230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8340.222778320312" w:header="0" w:footer="720"/>
          <w:cols w:equalWidth="0" w:num="2">
            <w:col w:space="0" w:w="1300"/>
            <w:col w:space="0" w:w="130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East Sussex CC </w:t>
      </w:r>
    </w:p>
    <w:p w:rsidR="00000000" w:rsidDel="00000000" w:rsidP="00000000" w:rsidRDefault="00000000" w:rsidRPr="00000000" w14:paraId="00000A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83778381347656"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w:t>
      </w:r>
      <w:r w:rsidDel="00000000" w:rsidR="00000000" w:rsidRPr="00000000">
        <w:rPr>
          <w:rFonts w:ascii="Arial" w:cs="Arial" w:eastAsia="Arial" w:hAnsi="Arial"/>
          <w:b w:val="0"/>
          <w:i w:val="0"/>
          <w:smallCaps w:val="0"/>
          <w:strike w:val="1"/>
          <w:color w:val="808080"/>
          <w:sz w:val="15.61379623413086"/>
          <w:szCs w:val="15.61379623413086"/>
          <w:u w:val="none"/>
          <w:shd w:fill="auto" w:val="clear"/>
          <w:vertAlign w:val="baseline"/>
          <w:rtl w:val="0"/>
        </w:rPr>
        <w:t xml:space="preserve"> 2022 N</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QC Ltd All Rights Reserved. 62/82</w:t>
      </w:r>
    </w:p>
    <w:p w:rsidR="00000000" w:rsidDel="00000000" w:rsidP="00000000" w:rsidRDefault="00000000" w:rsidRPr="00000000" w14:paraId="00000A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52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A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2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2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2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West Surrey </w:t>
      </w:r>
    </w:p>
    <w:p w:rsidR="00000000" w:rsidDel="00000000" w:rsidP="00000000" w:rsidRDefault="00000000" w:rsidRPr="00000000" w14:paraId="00000B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7537.1112060546875" w:header="0" w:footer="720"/>
          <w:cols w:equalWidth="0" w:num="2">
            <w:col w:space="0" w:w="1700"/>
            <w:col w:space="0" w:w="170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West Sussex (North East) West Sussex (South West) </w:t>
      </w:r>
    </w:p>
    <w:p w:rsidR="00000000" w:rsidDel="00000000" w:rsidP="00000000" w:rsidRDefault="00000000" w:rsidRPr="00000000" w14:paraId="00000B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21240234375" w:line="242.75968551635742" w:lineRule="auto"/>
        <w:ind w:left="16.238327026367188" w:right="4927.5244140625" w:firstLine="9.080047607421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Tees Valley and Durham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B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52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B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2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3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3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Darlington </w:t>
      </w:r>
    </w:p>
    <w:p w:rsidR="00000000" w:rsidDel="00000000" w:rsidP="00000000" w:rsidRDefault="00000000" w:rsidRPr="00000000" w14:paraId="00000B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Durham CC </w:t>
      </w:r>
    </w:p>
    <w:p w:rsidR="00000000" w:rsidDel="00000000" w:rsidP="00000000" w:rsidRDefault="00000000" w:rsidRPr="00000000" w14:paraId="00000B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6891.141357421875" w:header="0" w:footer="720"/>
          <w:cols w:equalWidth="0" w:num="2">
            <w:col w:space="0" w:w="2020"/>
            <w:col w:space="0" w:w="202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Hartlepool and Stockton-on-Tees South Teesside </w:t>
      </w:r>
    </w:p>
    <w:p w:rsidR="00000000" w:rsidDel="00000000" w:rsidP="00000000" w:rsidRDefault="00000000" w:rsidRPr="00000000" w14:paraId="00000B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211181640625" w:line="242.80526161193848" w:lineRule="auto"/>
        <w:ind w:left="17.247238159179688" w:right="4952.9815673828125" w:firstLine="8.0711364746093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123.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West Midlands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B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53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B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3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3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3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3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3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3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879299163818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Birmingham Coventry </w:t>
      </w:r>
    </w:p>
    <w:p w:rsidR="00000000" w:rsidDel="00000000" w:rsidP="00000000" w:rsidRDefault="00000000" w:rsidRPr="00000000" w14:paraId="00000B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3276367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Dudley </w:t>
      </w:r>
    </w:p>
    <w:p w:rsidR="00000000" w:rsidDel="00000000" w:rsidP="00000000" w:rsidRDefault="00000000" w:rsidRPr="00000000" w14:paraId="00000B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Sandwell </w:t>
      </w:r>
    </w:p>
    <w:p w:rsidR="00000000" w:rsidDel="00000000" w:rsidP="00000000" w:rsidRDefault="00000000" w:rsidRPr="00000000" w14:paraId="00000B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Solihull </w:t>
      </w:r>
    </w:p>
    <w:p w:rsidR="00000000" w:rsidDel="00000000" w:rsidP="00000000" w:rsidRDefault="00000000" w:rsidRPr="00000000" w14:paraId="00000B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Walsall </w:t>
      </w:r>
    </w:p>
    <w:p w:rsidR="00000000" w:rsidDel="00000000" w:rsidP="00000000" w:rsidRDefault="00000000" w:rsidRPr="00000000" w14:paraId="00000B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8632.418212890625" w:header="0" w:footer="720"/>
          <w:cols w:equalWidth="0" w:num="2">
            <w:col w:space="0" w:w="1160"/>
            <w:col w:space="0" w:w="11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Wolverhampton </w:t>
      </w:r>
    </w:p>
    <w:p w:rsidR="00000000" w:rsidDel="00000000" w:rsidP="00000000" w:rsidRDefault="00000000" w:rsidRPr="00000000" w14:paraId="00000B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551025390625" w:line="242.80569076538086" w:lineRule="auto"/>
        <w:ind w:left="17.247238159179688" w:right="5205.2044677734375" w:firstLine="8.0711364746093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124.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West Wales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B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53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B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7063.1317138671875" w:header="0" w:footer="720"/>
          <w:cols w:equalWidth="0" w:num="2">
            <w:col w:space="0" w:w="1940"/>
            <w:col w:space="0" w:w="19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Bridgend and Neath Port Talbot </w:t>
      </w:r>
    </w:p>
    <w:p w:rsidR="00000000" w:rsidDel="00000000" w:rsidP="00000000" w:rsidRDefault="00000000" w:rsidRPr="00000000" w14:paraId="00000B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993957519531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63/82</w:t>
      </w:r>
    </w:p>
    <w:p w:rsidR="00000000" w:rsidDel="00000000" w:rsidP="00000000" w:rsidRDefault="00000000" w:rsidRPr="00000000" w14:paraId="00000B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54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B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4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4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4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4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4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4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Central Valleys </w:t>
      </w:r>
    </w:p>
    <w:p w:rsidR="00000000" w:rsidDel="00000000" w:rsidP="00000000" w:rsidRDefault="00000000" w:rsidRPr="00000000" w14:paraId="00000B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Conwy and Denbighshire Gwent Valleys </w:t>
      </w:r>
    </w:p>
    <w:p w:rsidR="00000000" w:rsidDel="00000000" w:rsidP="00000000" w:rsidRDefault="00000000" w:rsidRPr="00000000" w14:paraId="00000B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8066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Gwynedd </w:t>
      </w:r>
    </w:p>
    <w:p w:rsidR="00000000" w:rsidDel="00000000" w:rsidP="00000000" w:rsidRDefault="00000000" w:rsidRPr="00000000" w14:paraId="00000B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Isle of Anglesey </w:t>
      </w:r>
    </w:p>
    <w:p w:rsidR="00000000" w:rsidDel="00000000" w:rsidP="00000000" w:rsidRDefault="00000000" w:rsidRPr="00000000" w14:paraId="00000B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South West Wales </w:t>
      </w:r>
    </w:p>
    <w:p w:rsidR="00000000" w:rsidDel="00000000" w:rsidP="00000000" w:rsidRDefault="00000000" w:rsidRPr="00000000" w14:paraId="00000B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964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7681.51611328125" w:header="0" w:footer="720"/>
          <w:cols w:equalWidth="0" w:num="2">
            <w:col w:space="0" w:w="1620"/>
            <w:col w:space="0" w:w="162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Swansea </w:t>
      </w:r>
    </w:p>
    <w:p w:rsidR="00000000" w:rsidDel="00000000" w:rsidP="00000000" w:rsidRDefault="00000000" w:rsidRPr="00000000" w14:paraId="00000B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41455078125" w:line="242.7125358581543" w:lineRule="auto"/>
        <w:ind w:left="17.247238159179688" w:right="4904.93896484375" w:firstLine="8.0711364746093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125.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West Yorkshire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B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54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B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4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4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5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Bradford </w:t>
      </w:r>
    </w:p>
    <w:p w:rsidR="00000000" w:rsidDel="00000000" w:rsidP="00000000" w:rsidRDefault="00000000" w:rsidRPr="00000000" w14:paraId="00000B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Calderdale and Kirklees Leeds </w:t>
      </w:r>
    </w:p>
    <w:p w:rsidR="00000000" w:rsidDel="00000000" w:rsidP="00000000" w:rsidRDefault="00000000" w:rsidRPr="00000000" w14:paraId="00000B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45605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7817.0843505859375" w:header="0" w:footer="720"/>
          <w:cols w:equalWidth="0" w:num="2">
            <w:col w:space="0" w:w="1560"/>
            <w:col w:space="0" w:w="15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Wakefield </w:t>
      </w:r>
    </w:p>
    <w:p w:rsidR="00000000" w:rsidDel="00000000" w:rsidP="00000000" w:rsidRDefault="00000000" w:rsidRPr="00000000" w14:paraId="00000B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5205078125" w:line="242.80526161193848" w:lineRule="auto"/>
        <w:ind w:left="19.937591552734375" w:right="5000.5029296875" w:firstLine="5.3807830810546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126.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Yorkshire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B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55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B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5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963714599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8228.17138671875" w:header="0" w:footer="720"/>
          <w:cols w:equalWidth="0" w:num="2">
            <w:col w:space="0" w:w="1360"/>
            <w:col w:space="0" w:w="13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North Yorkshire CC York </w:t>
      </w:r>
    </w:p>
    <w:p w:rsidR="00000000" w:rsidDel="00000000" w:rsidP="00000000" w:rsidRDefault="00000000" w:rsidRPr="00000000" w14:paraId="00000B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2391357421875" w:line="240" w:lineRule="auto"/>
        <w:ind w:left="0"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B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731811523438" w:line="242.71282196044922"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127.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'Building Type'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that your organisation is able to provide services for. Tick all that apply. </w:t>
      </w:r>
    </w:p>
    <w:tbl>
      <w:tblPr>
        <w:tblStyle w:val="Table553"/>
        <w:tblW w:w="420.37139892578125" w:type="dxa"/>
        <w:jc w:val="left"/>
        <w:tblInd w:w="117.751998901367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B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Up to and including 2 floors </w:t>
      </w:r>
    </w:p>
    <w:p w:rsidR="00000000" w:rsidDel="00000000" w:rsidP="00000000" w:rsidRDefault="00000000" w:rsidRPr="00000000" w14:paraId="00000B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9.0859985351562"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B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968017578125" w:line="233.22898864746094"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sectPr>
          <w:type w:val="continuous"/>
          <w:pgSz w:h="16840" w:w="11900" w:orient="portrait"/>
          <w:pgMar w:bottom="731.484375" w:top="446.640625" w:left="869.3647003173828" w:right="1785.0177001953125" w:header="0" w:footer="720"/>
          <w:cols w:equalWidth="0" w:num="2">
            <w:col w:space="0" w:w="4640"/>
            <w:col w:space="0" w:w="4640"/>
          </w:cols>
        </w:sect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You are advised to select only the relevant criteria to your organisation. Buyers using the RM6241 Marketplace will assess your credentials for specific contract opportunities during call for competitions. </w:t>
      </w:r>
    </w:p>
    <w:p w:rsidR="00000000" w:rsidDel="00000000" w:rsidP="00000000" w:rsidRDefault="00000000" w:rsidRPr="00000000" w14:paraId="00000B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960021972656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64/82</w:t>
      </w:r>
    </w:p>
    <w:p w:rsidR="00000000" w:rsidDel="00000000" w:rsidP="00000000" w:rsidRDefault="00000000" w:rsidRPr="00000000" w14:paraId="00000B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55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B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5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5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9287.4462890625" w:header="0" w:footer="720"/>
          <w:cols w:equalWidth="0" w:num="2">
            <w:col w:space="0" w:w="820"/>
            <w:col w:space="0" w:w="82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3-4 floors 5-6 floors 7+ floors </w:t>
      </w:r>
    </w:p>
    <w:p w:rsidR="00000000" w:rsidDel="00000000" w:rsidP="00000000" w:rsidRDefault="00000000" w:rsidRPr="00000000" w14:paraId="00000B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6.91162109375" w:line="240" w:lineRule="auto"/>
        <w:ind w:left="0"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B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361328125" w:line="242.80614852905273"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128.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'Total Contract Value'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that your organisation is able to provide services for. Tick all that apply. </w:t>
      </w:r>
    </w:p>
    <w:tbl>
      <w:tblPr>
        <w:tblStyle w:val="Table557"/>
        <w:tblW w:w="420.37139892578125" w:type="dxa"/>
        <w:jc w:val="left"/>
        <w:tblInd w:w="109.00825500488281"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B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&lt;£10,000 </w:t>
      </w:r>
    </w:p>
    <w:p w:rsidR="00000000" w:rsidDel="00000000" w:rsidP="00000000" w:rsidRDefault="00000000" w:rsidRPr="00000000" w14:paraId="00000B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9.085693359375"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B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19287109375" w:line="233.2508897781372"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sectPr>
          <w:type w:val="continuous"/>
          <w:pgSz w:h="16840" w:w="11900" w:orient="portrait"/>
          <w:pgMar w:bottom="731.484375" w:top="446.640625" w:left="878.1084442138672" w:right="1785.0177001953125" w:header="0" w:footer="720"/>
          <w:cols w:equalWidth="0" w:num="2">
            <w:col w:space="0" w:w="4620"/>
            <w:col w:space="0" w:w="4620"/>
          </w:cols>
        </w:sect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You are advised to select only the relevant criteria to your organisation. Buyers using the RM6241 Marketplace will assess your credentials for specific contract opportunities during call for competitions. </w:t>
      </w:r>
    </w:p>
    <w:p w:rsidR="00000000" w:rsidDel="00000000" w:rsidP="00000000" w:rsidRDefault="00000000" w:rsidRPr="00000000" w14:paraId="00000B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tl w:val="0"/>
        </w:rPr>
      </w:r>
    </w:p>
    <w:tbl>
      <w:tblPr>
        <w:tblStyle w:val="Table55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tl w:val="0"/>
              </w:rPr>
            </w:r>
          </w:p>
        </w:tc>
      </w:tr>
    </w:tbl>
    <w:p w:rsidR="00000000" w:rsidDel="00000000" w:rsidP="00000000" w:rsidRDefault="00000000" w:rsidRPr="00000000" w14:paraId="00000B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5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6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6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6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6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6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6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6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6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B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£10,001 - £19,999 </w:t>
      </w:r>
    </w:p>
    <w:p w:rsidR="00000000" w:rsidDel="00000000" w:rsidP="00000000" w:rsidRDefault="00000000" w:rsidRPr="00000000" w14:paraId="00000B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£20,000 - £49,999 </w:t>
      </w:r>
    </w:p>
    <w:p w:rsidR="00000000" w:rsidDel="00000000" w:rsidP="00000000" w:rsidRDefault="00000000" w:rsidRPr="00000000" w14:paraId="00000B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£50,000 - £99,999 </w:t>
      </w:r>
    </w:p>
    <w:p w:rsidR="00000000" w:rsidDel="00000000" w:rsidP="00000000" w:rsidRDefault="00000000" w:rsidRPr="00000000" w14:paraId="00000B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3544921875" w:line="683.947849273681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£100,000 - £249,999 £250,000 - £499,999 £500,000 - £999,999 £1,000,000 - &lt; £4,999,999 </w:t>
      </w:r>
    </w:p>
    <w:p w:rsidR="00000000" w:rsidDel="00000000" w:rsidP="00000000" w:rsidRDefault="00000000" w:rsidRPr="00000000" w14:paraId="00000B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76123046875" w:line="683.9144325256348"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7546.58447265625" w:header="0" w:footer="720"/>
          <w:cols w:equalWidth="0" w:num="2">
            <w:col w:space="0" w:w="1700"/>
            <w:col w:space="0" w:w="170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£5,000,000 - £9,999,999 £10,000,000-£19,999,999 &gt;£20,000,000 </w:t>
      </w:r>
    </w:p>
    <w:p w:rsidR="00000000" w:rsidDel="00000000" w:rsidP="00000000" w:rsidRDefault="00000000" w:rsidRPr="00000000" w14:paraId="00000B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34976196289062"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B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9.1377258300781"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65/82</w:t>
      </w:r>
    </w:p>
    <w:p w:rsidR="00000000" w:rsidDel="00000000" w:rsidP="00000000" w:rsidRDefault="00000000" w:rsidRPr="00000000" w14:paraId="00000B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129.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Does your organisation including all key subcontractors commit </w:t>
      </w:r>
    </w:p>
    <w:p w:rsidR="00000000" w:rsidDel="00000000" w:rsidP="00000000" w:rsidRDefault="00000000" w:rsidRPr="00000000" w14:paraId="00000B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to the provision of social value initiatives where requested by a </w:t>
      </w:r>
    </w:p>
    <w:p w:rsidR="00000000" w:rsidDel="00000000" w:rsidP="00000000" w:rsidRDefault="00000000" w:rsidRPr="00000000" w14:paraId="00000B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1.95541381835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Contracting Authority under any resultant contract placed under this </w:t>
      </w:r>
    </w:p>
    <w:p w:rsidR="00000000" w:rsidDel="00000000" w:rsidP="00000000" w:rsidRDefault="00000000" w:rsidRPr="00000000" w14:paraId="00000B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8.8494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Dynamic Purchasing System? </w:t>
      </w:r>
    </w:p>
    <w:p w:rsidR="00000000" w:rsidDel="00000000" w:rsidP="00000000" w:rsidRDefault="00000000" w:rsidRPr="00000000" w14:paraId="00000B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55126953125" w:line="240" w:lineRule="auto"/>
        <w:ind w:left="28.1768798828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Under this Dynamic Purchasing System, a Contracting Authority running a </w:t>
      </w:r>
    </w:p>
    <w:p w:rsidR="00000000" w:rsidDel="00000000" w:rsidP="00000000" w:rsidRDefault="00000000" w:rsidRPr="00000000" w14:paraId="00000B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1.95541381835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Call For Competition may wish to evaluate Social Value relevant to the </w:t>
      </w:r>
    </w:p>
    <w:p w:rsidR="00000000" w:rsidDel="00000000" w:rsidP="00000000" w:rsidRDefault="00000000" w:rsidRPr="00000000" w14:paraId="00000B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8.25614929199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delivery of Goods and/or Services to be delivered under the contract being </w:t>
      </w:r>
    </w:p>
    <w:p w:rsidR="00000000" w:rsidDel="00000000" w:rsidP="00000000" w:rsidRDefault="00000000" w:rsidRPr="00000000" w14:paraId="00000B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tendered. In addition, Central Government / Contracting Authorities in scope </w:t>
      </w:r>
    </w:p>
    <w:p w:rsidR="00000000" w:rsidDel="00000000" w:rsidP="00000000" w:rsidRDefault="00000000" w:rsidRPr="00000000" w14:paraId="00000B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of PPN 6/20 'Taking Account of Social Value in the Award of Central </w:t>
      </w:r>
    </w:p>
    <w:p w:rsidR="00000000" w:rsidDel="00000000" w:rsidP="00000000" w:rsidRDefault="00000000" w:rsidRPr="00000000" w14:paraId="00000B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1.282806396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Government Contracts' may choose to evaluate Suppliers by incorporating </w:t>
      </w:r>
    </w:p>
    <w:p w:rsidR="00000000" w:rsidDel="00000000" w:rsidP="00000000" w:rsidRDefault="00000000" w:rsidRPr="00000000" w14:paraId="00000B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0.9465026855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any of the Social Value Policy Outcomes or Themes as set out in the Social </w:t>
      </w:r>
    </w:p>
    <w:p w:rsidR="00000000" w:rsidDel="00000000" w:rsidP="00000000" w:rsidRDefault="00000000" w:rsidRPr="00000000" w14:paraId="00000B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Value Model of PPN 6/20 in their award criteria. </w:t>
      </w:r>
    </w:p>
    <w:p w:rsidR="00000000" w:rsidDel="00000000" w:rsidP="00000000" w:rsidRDefault="00000000" w:rsidRPr="00000000" w14:paraId="00000B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59204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B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B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39404296875"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130.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that you will support Social Value development </w:t>
      </w:r>
    </w:p>
    <w:p w:rsidR="00000000" w:rsidDel="00000000" w:rsidP="00000000" w:rsidRDefault="00000000" w:rsidRPr="00000000" w14:paraId="00000B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20.9465026855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and reporting through this DPS Agreement. </w:t>
      </w:r>
    </w:p>
    <w:p w:rsidR="00000000" w:rsidDel="00000000" w:rsidP="00000000" w:rsidRDefault="00000000" w:rsidRPr="00000000" w14:paraId="00000B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33264160156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policy is set out in detail in Policy Procurement Note 06/20 and DPS </w:t>
      </w:r>
    </w:p>
    <w:p w:rsidR="00000000" w:rsidDel="00000000" w:rsidP="00000000" w:rsidRDefault="00000000" w:rsidRPr="00000000" w14:paraId="00000B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21.95541381835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Schedule 1- Specification. </w:t>
      </w:r>
    </w:p>
    <w:p w:rsidR="00000000" w:rsidDel="00000000" w:rsidP="00000000" w:rsidRDefault="00000000" w:rsidRPr="00000000" w14:paraId="00000B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2542724609375" w:line="240" w:lineRule="auto"/>
        <w:ind w:left="181.3601684570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on non compliant criteria </w:t>
      </w:r>
    </w:p>
    <w:p w:rsidR="00000000" w:rsidDel="00000000" w:rsidP="00000000" w:rsidRDefault="00000000" w:rsidRPr="00000000" w14:paraId="00000B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751708984375" w:line="240" w:lineRule="auto"/>
        <w:ind w:left="413.76556396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section is evaluated PASS/FAIL. If you answer No, your </w:t>
      </w:r>
    </w:p>
    <w:p w:rsidR="00000000" w:rsidDel="00000000" w:rsidP="00000000" w:rsidRDefault="00000000" w:rsidRPr="00000000" w14:paraId="00000B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416.2877655029297"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organisation will be deemed as non compliant and will therefore be </w:t>
      </w:r>
    </w:p>
    <w:p w:rsidR="00000000" w:rsidDel="00000000" w:rsidP="00000000" w:rsidRDefault="00000000" w:rsidRPr="00000000" w14:paraId="00000B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421.8367004394531"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rejected from the RM6241 DPS. </w:t>
      </w:r>
    </w:p>
    <w:p w:rsidR="00000000" w:rsidDel="00000000" w:rsidP="00000000" w:rsidRDefault="00000000" w:rsidRPr="00000000" w14:paraId="00000B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93579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B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70397949218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B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4412841796875"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B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0561523438"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131.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that you have detailed your environmental </w:t>
      </w:r>
    </w:p>
    <w:p w:rsidR="00000000" w:rsidDel="00000000" w:rsidP="00000000" w:rsidRDefault="00000000" w:rsidRPr="00000000" w14:paraId="00000B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management measures by completing and publishing a Carbon </w:t>
      </w:r>
    </w:p>
    <w:p w:rsidR="00000000" w:rsidDel="00000000" w:rsidP="00000000" w:rsidRDefault="00000000" w:rsidRPr="00000000" w14:paraId="00000B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9.522094726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Reduction Plan which meets the required reporting standard. </w:t>
      </w:r>
    </w:p>
    <w:p w:rsidR="00000000" w:rsidDel="00000000" w:rsidP="00000000" w:rsidRDefault="00000000" w:rsidRPr="00000000" w14:paraId="00000B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551269531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Templates for a carbon reduction plan, along with guidance on the standards </w:t>
      </w:r>
    </w:p>
    <w:p w:rsidR="00000000" w:rsidDel="00000000" w:rsidP="00000000" w:rsidRDefault="00000000" w:rsidRPr="00000000" w14:paraId="00000B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0.9465026855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applicable and guidance for public sector organisations on the scope and </w:t>
      </w:r>
    </w:p>
    <w:p w:rsidR="00000000" w:rsidDel="00000000" w:rsidP="00000000" w:rsidRDefault="00000000" w:rsidRPr="00000000" w14:paraId="00000B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0.946502685546875" w:right="0" w:firstLine="0"/>
        <w:jc w:val="left"/>
        <w:rPr>
          <w:rFonts w:ascii="Arial" w:cs="Arial" w:eastAsia="Arial" w:hAnsi="Arial"/>
          <w:b w:val="0"/>
          <w:i w:val="0"/>
          <w:smallCaps w:val="0"/>
          <w:strike w:val="0"/>
          <w:color w:val="0000ee"/>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application, can be found at: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Procurement Policy Note 6/21</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p>
    <w:p w:rsidR="00000000" w:rsidDel="00000000" w:rsidP="00000000" w:rsidRDefault="00000000" w:rsidRPr="00000000" w14:paraId="00000B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9.3041992187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66/82</w:t>
      </w:r>
    </w:p>
    <w:p w:rsidR="00000000" w:rsidDel="00000000" w:rsidP="00000000" w:rsidRDefault="00000000" w:rsidRPr="00000000" w14:paraId="00000B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B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25927734375" w:line="239.88341331481934"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provide a link to your most recently published Carbon Reduction Plan here: </w:t>
      </w:r>
    </w:p>
    <w:tbl>
      <w:tblPr>
        <w:tblStyle w:val="Table568"/>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B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24780273437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confirm why you can not provide your Carbon Reduction Plan </w:t>
      </w:r>
    </w:p>
    <w:tbl>
      <w:tblPr>
        <w:tblStyle w:val="Table569"/>
        <w:tblW w:w="5296.680145263672"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96.680145263672"/>
        <w:tblGridChange w:id="0">
          <w:tblGrid>
            <w:gridCol w:w="5296.680145263672"/>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75968551635742"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132.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that your organisation is taking steps to reduce your GHG Emissions over time and is publicly committed to achieving Net Zero by 2050. </w:t>
      </w:r>
    </w:p>
    <w:p w:rsidR="00000000" w:rsidDel="00000000" w:rsidP="00000000" w:rsidRDefault="00000000" w:rsidRPr="00000000" w14:paraId="00000B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0.611572265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B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7039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B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4412841796875" w:line="240" w:lineRule="auto"/>
        <w:ind w:left="0"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B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2.7588272094726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133.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review the contact information below that you have provided at question number 104 of your Selection Questionnaire, and update any fields if required, before continuing to the next page. </w:t>
      </w:r>
    </w:p>
    <w:p w:rsidR="00000000" w:rsidDel="00000000" w:rsidP="00000000" w:rsidRDefault="00000000" w:rsidRPr="00000000" w14:paraId="00000B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311645507812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Contact name </w:t>
      </w:r>
    </w:p>
    <w:tbl>
      <w:tblPr>
        <w:tblStyle w:val="Table570"/>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organisation </w:t>
      </w:r>
    </w:p>
    <w:tbl>
      <w:tblPr>
        <w:tblStyle w:val="Table571"/>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572"/>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Telephone number </w:t>
      </w:r>
    </w:p>
    <w:tbl>
      <w:tblPr>
        <w:tblStyle w:val="Table573"/>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B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968017578125" w:line="233.24366569519043"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sectPr>
          <w:type w:val="continuous"/>
          <w:pgSz w:h="16840" w:w="11900" w:orient="portrait"/>
          <w:pgMar w:bottom="731.484375" w:top="446.640625" w:left="867.0106506347656" w:right="1755.5474853515625" w:header="0" w:footer="720"/>
          <w:cols w:equalWidth="0" w:num="2">
            <w:col w:space="0" w:w="4640"/>
            <w:col w:space="0" w:w="4640"/>
          </w:cols>
        </w:sect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You can update your contact details at any point during the lifetime of the DPS, by updating your RM6241 Housing Maintenance and Repair DPSQ. </w:t>
      </w:r>
    </w:p>
    <w:p w:rsidR="00000000" w:rsidDel="00000000" w:rsidP="00000000" w:rsidRDefault="00000000" w:rsidRPr="00000000" w14:paraId="00000B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96.982727050781"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67/82</w:t>
      </w:r>
    </w:p>
    <w:p w:rsidR="00000000" w:rsidDel="00000000" w:rsidP="00000000" w:rsidRDefault="00000000" w:rsidRPr="00000000" w14:paraId="00000B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0985717773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E-mail address </w:t>
      </w:r>
    </w:p>
    <w:tbl>
      <w:tblPr>
        <w:tblStyle w:val="Table57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54119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B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34033203125"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575"/>
        <w:tblW w:w="3771.3323974609375" w:type="dxa"/>
        <w:jc w:val="left"/>
        <w:tblInd w:w="326.160125732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B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57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or City </w:t>
      </w:r>
    </w:p>
    <w:tbl>
      <w:tblPr>
        <w:tblStyle w:val="Table57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or state </w:t>
      </w:r>
    </w:p>
    <w:tbl>
      <w:tblPr>
        <w:tblStyle w:val="Table57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57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58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C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134.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review the following information for your organisations </w:t>
      </w:r>
    </w:p>
    <w:p w:rsidR="00000000" w:rsidDel="00000000" w:rsidP="00000000" w:rsidRDefault="00000000" w:rsidRPr="00000000" w14:paraId="00000C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headquarters, and update any fields if required, before continuing to </w:t>
      </w:r>
    </w:p>
    <w:p w:rsidR="00000000" w:rsidDel="00000000" w:rsidP="00000000" w:rsidRDefault="00000000" w:rsidRPr="00000000" w14:paraId="00000C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 next page. </w:t>
      </w:r>
    </w:p>
    <w:p w:rsidR="00000000" w:rsidDel="00000000" w:rsidP="00000000" w:rsidRDefault="00000000" w:rsidRPr="00000000" w14:paraId="00000C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440185546875" w:line="240" w:lineRule="auto"/>
        <w:ind w:left="30.0985717773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Full name of headquarters </w:t>
      </w:r>
    </w:p>
    <w:tbl>
      <w:tblPr>
        <w:tblStyle w:val="Table58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54119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C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21124267578125"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582"/>
        <w:tblW w:w="3771.3323974609375" w:type="dxa"/>
        <w:jc w:val="left"/>
        <w:tblInd w:w="326.160125732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C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58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68/82</w:t>
      </w:r>
    </w:p>
    <w:p w:rsidR="00000000" w:rsidDel="00000000" w:rsidP="00000000" w:rsidRDefault="00000000" w:rsidRPr="00000000" w14:paraId="00000C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or City </w:t>
      </w:r>
    </w:p>
    <w:tbl>
      <w:tblPr>
        <w:tblStyle w:val="Table584"/>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or state </w:t>
      </w:r>
    </w:p>
    <w:tbl>
      <w:tblPr>
        <w:tblStyle w:val="Table585"/>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586"/>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587"/>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C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DUNS number </w:t>
      </w:r>
    </w:p>
    <w:tbl>
      <w:tblPr>
        <w:tblStyle w:val="Table588"/>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C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2.80526161193848"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135.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DPS Agreement Manager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and update any fields if required, before continuing to the next page. </w:t>
      </w:r>
    </w:p>
    <w:p w:rsidR="00000000" w:rsidDel="00000000" w:rsidP="00000000" w:rsidRDefault="00000000" w:rsidRPr="00000000" w14:paraId="00000C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278686523437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Contact name </w:t>
      </w:r>
    </w:p>
    <w:tbl>
      <w:tblPr>
        <w:tblStyle w:val="Table589"/>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organisation </w:t>
      </w:r>
    </w:p>
    <w:tbl>
      <w:tblPr>
        <w:tblStyle w:val="Table590"/>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591"/>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Telephone number </w:t>
      </w:r>
    </w:p>
    <w:tbl>
      <w:tblPr>
        <w:tblStyle w:val="Table592"/>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E-mail address </w:t>
      </w:r>
    </w:p>
    <w:tbl>
      <w:tblPr>
        <w:tblStyle w:val="Table593"/>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C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332702636719"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p w:rsidR="00000000" w:rsidDel="00000000" w:rsidP="00000000" w:rsidRDefault="00000000" w:rsidRPr="00000000" w14:paraId="00000C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50.5303955078125"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C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186767578125" w:line="233.24366569519043"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sectPr>
          <w:type w:val="continuous"/>
          <w:pgSz w:h="16840" w:w="11900" w:orient="portrait"/>
          <w:pgMar w:bottom="731.484375" w:top="446.640625" w:left="867.0106506347656" w:right="1755.5474853515625" w:header="0" w:footer="720"/>
          <w:cols w:equalWidth="0" w:num="2">
            <w:col w:space="0" w:w="4640"/>
            <w:col w:space="0" w:w="4640"/>
          </w:cols>
        </w:sect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You can update your contact details at any point during the lifetime of the DPS, by updating your RM6241 Housing Maintenance and Repair DPSQ. </w:t>
      </w:r>
    </w:p>
    <w:p w:rsidR="00000000" w:rsidDel="00000000" w:rsidP="00000000" w:rsidRDefault="00000000" w:rsidRPr="00000000" w14:paraId="00000C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10.41992187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69/82</w:t>
      </w:r>
    </w:p>
    <w:p w:rsidR="00000000" w:rsidDel="00000000" w:rsidP="00000000" w:rsidRDefault="00000000" w:rsidRPr="00000000" w14:paraId="00000C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594"/>
        <w:tblW w:w="3771.3323974609375" w:type="dxa"/>
        <w:jc w:val="left"/>
        <w:tblInd w:w="312.27584838867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C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595"/>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w:t>
      </w:r>
    </w:p>
    <w:tbl>
      <w:tblPr>
        <w:tblStyle w:val="Table596"/>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w:t>
      </w:r>
    </w:p>
    <w:tbl>
      <w:tblPr>
        <w:tblStyle w:val="Table597"/>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598"/>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599"/>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C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C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2.80526161193848"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136.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Authorised Representative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and update any fields if required, before continuing to the next page. </w:t>
      </w:r>
    </w:p>
    <w:p w:rsidR="00000000" w:rsidDel="00000000" w:rsidP="00000000" w:rsidRDefault="00000000" w:rsidRPr="00000000" w14:paraId="00000C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278686523437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Contact name </w:t>
      </w:r>
    </w:p>
    <w:tbl>
      <w:tblPr>
        <w:tblStyle w:val="Table600"/>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organisation </w:t>
      </w:r>
    </w:p>
    <w:tbl>
      <w:tblPr>
        <w:tblStyle w:val="Table601"/>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602"/>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Telephone number </w:t>
      </w:r>
    </w:p>
    <w:tbl>
      <w:tblPr>
        <w:tblStyle w:val="Table603"/>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E-mail address </w:t>
      </w:r>
    </w:p>
    <w:tbl>
      <w:tblPr>
        <w:tblStyle w:val="Table604"/>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8427734375"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w:t>
            </w:r>
          </w:p>
        </w:tc>
      </w:tr>
    </w:tbl>
    <w:p w:rsidR="00000000" w:rsidDel="00000000" w:rsidP="00000000" w:rsidRDefault="00000000" w:rsidRPr="00000000" w14:paraId="00000C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C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968017578125"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You can update your contact details at </w:t>
      </w:r>
    </w:p>
    <w:p w:rsidR="00000000" w:rsidDel="00000000" w:rsidP="00000000" w:rsidRDefault="00000000" w:rsidRPr="00000000" w14:paraId="00000C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any point during the lifetime of the DPS, </w:t>
      </w:r>
    </w:p>
    <w:p w:rsidR="00000000" w:rsidDel="00000000" w:rsidP="00000000" w:rsidRDefault="00000000" w:rsidRPr="00000000" w14:paraId="00000C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67138671875"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by updating your RM6241 Housing </w:t>
      </w:r>
    </w:p>
    <w:p w:rsidR="00000000" w:rsidDel="00000000" w:rsidP="00000000" w:rsidRDefault="00000000" w:rsidRPr="00000000" w14:paraId="00000C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Maintenance and Repair DPSQ. </w:t>
      </w:r>
    </w:p>
    <w:p w:rsidR="00000000" w:rsidDel="00000000" w:rsidP="00000000" w:rsidRDefault="00000000" w:rsidRPr="00000000" w14:paraId="00000C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09.409484863281" w:line="240"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70/82</w:t>
      </w:r>
    </w:p>
    <w:tbl>
      <w:tblPr>
        <w:tblStyle w:val="Table605"/>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C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C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21215820312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606"/>
        <w:tblW w:w="3771.3323974609375" w:type="dxa"/>
        <w:jc w:val="left"/>
        <w:tblInd w:w="312.27584838867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C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607"/>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w:t>
      </w:r>
    </w:p>
    <w:tbl>
      <w:tblPr>
        <w:tblStyle w:val="Table608"/>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w:t>
      </w:r>
    </w:p>
    <w:tbl>
      <w:tblPr>
        <w:tblStyle w:val="Table609"/>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610"/>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611"/>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C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C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2.71236419677734"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137.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Compliance Officer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and update any fields if required, before continuing to the next page. </w:t>
      </w:r>
    </w:p>
    <w:p w:rsidR="00000000" w:rsidDel="00000000" w:rsidP="00000000" w:rsidRDefault="00000000" w:rsidRPr="00000000" w14:paraId="00000C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42211914062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Contact name </w:t>
      </w:r>
    </w:p>
    <w:tbl>
      <w:tblPr>
        <w:tblStyle w:val="Table612"/>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organisation </w:t>
      </w:r>
    </w:p>
    <w:tbl>
      <w:tblPr>
        <w:tblStyle w:val="Table613"/>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614"/>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Telephone number </w:t>
      </w:r>
    </w:p>
    <w:tbl>
      <w:tblPr>
        <w:tblStyle w:val="Table615"/>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8427734375"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w:t>
            </w:r>
          </w:p>
        </w:tc>
      </w:tr>
    </w:tbl>
    <w:p w:rsidR="00000000" w:rsidDel="00000000" w:rsidP="00000000" w:rsidRDefault="00000000" w:rsidRPr="00000000" w14:paraId="00000C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C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968017578125"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You can update your contact details at </w:t>
      </w:r>
    </w:p>
    <w:p w:rsidR="00000000" w:rsidDel="00000000" w:rsidP="00000000" w:rsidRDefault="00000000" w:rsidRPr="00000000" w14:paraId="00000C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any point during the lifetime of the DPS, </w:t>
      </w:r>
    </w:p>
    <w:p w:rsidR="00000000" w:rsidDel="00000000" w:rsidP="00000000" w:rsidRDefault="00000000" w:rsidRPr="00000000" w14:paraId="00000C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by updating your RM6241 Housing </w:t>
      </w:r>
    </w:p>
    <w:p w:rsidR="00000000" w:rsidDel="00000000" w:rsidP="00000000" w:rsidRDefault="00000000" w:rsidRPr="00000000" w14:paraId="00000C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67138671875"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Maintenance and Repair DPSQ. </w:t>
      </w:r>
    </w:p>
    <w:p w:rsidR="00000000" w:rsidDel="00000000" w:rsidP="00000000" w:rsidRDefault="00000000" w:rsidRPr="00000000" w14:paraId="00000C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12.3001098632812" w:line="240"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71/82</w:t>
      </w:r>
    </w:p>
    <w:tbl>
      <w:tblPr>
        <w:tblStyle w:val="Table616"/>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C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E-mail address </w:t>
      </w:r>
    </w:p>
    <w:tbl>
      <w:tblPr>
        <w:tblStyle w:val="Table617"/>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C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3403320312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618"/>
        <w:tblW w:w="3771.3323974609375" w:type="dxa"/>
        <w:jc w:val="left"/>
        <w:tblInd w:w="312.27584838867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C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619"/>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w:t>
      </w:r>
    </w:p>
    <w:tbl>
      <w:tblPr>
        <w:tblStyle w:val="Table620"/>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w:t>
      </w:r>
    </w:p>
    <w:tbl>
      <w:tblPr>
        <w:tblStyle w:val="Table621"/>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622"/>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623"/>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C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C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0561523438" w:line="242.8056907653808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138.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Data Protection Officer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and update any fields if required, before continuing to the next page. </w:t>
      </w:r>
    </w:p>
    <w:p w:rsidR="00000000" w:rsidDel="00000000" w:rsidP="00000000" w:rsidRDefault="00000000" w:rsidRPr="00000000" w14:paraId="00000C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278686523437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Contact name </w:t>
      </w:r>
    </w:p>
    <w:tbl>
      <w:tblPr>
        <w:tblStyle w:val="Table624"/>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organisation </w:t>
      </w:r>
    </w:p>
    <w:tbl>
      <w:tblPr>
        <w:tblStyle w:val="Table625"/>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626"/>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8427734375"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w:t>
            </w:r>
          </w:p>
        </w:tc>
      </w:tr>
    </w:tbl>
    <w:p w:rsidR="00000000" w:rsidDel="00000000" w:rsidP="00000000" w:rsidRDefault="00000000" w:rsidRPr="00000000" w14:paraId="00000C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C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1898193359375"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You can update your contact details at </w:t>
      </w:r>
    </w:p>
    <w:p w:rsidR="00000000" w:rsidDel="00000000" w:rsidP="00000000" w:rsidRDefault="00000000" w:rsidRPr="00000000" w14:paraId="00000C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67138671875"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any point during the lifetime of the DPS, </w:t>
      </w:r>
    </w:p>
    <w:p w:rsidR="00000000" w:rsidDel="00000000" w:rsidP="00000000" w:rsidRDefault="00000000" w:rsidRPr="00000000" w14:paraId="00000C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by updating your RM6241 Housing </w:t>
      </w:r>
    </w:p>
    <w:p w:rsidR="00000000" w:rsidDel="00000000" w:rsidP="00000000" w:rsidRDefault="00000000" w:rsidRPr="00000000" w14:paraId="00000C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Maintenance and Repair DPSQ. </w:t>
      </w:r>
    </w:p>
    <w:p w:rsidR="00000000" w:rsidDel="00000000" w:rsidP="00000000" w:rsidRDefault="00000000" w:rsidRPr="00000000" w14:paraId="00000C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5.1126098632812" w:line="240"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72/82</w:t>
      </w:r>
    </w:p>
    <w:tbl>
      <w:tblPr>
        <w:tblStyle w:val="Table627"/>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C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Telephone number </w:t>
      </w:r>
    </w:p>
    <w:tbl>
      <w:tblPr>
        <w:tblStyle w:val="Table628"/>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E-mail address </w:t>
      </w:r>
    </w:p>
    <w:tbl>
      <w:tblPr>
        <w:tblStyle w:val="Table629"/>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C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3403320312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630"/>
        <w:tblW w:w="3771.3323974609375" w:type="dxa"/>
        <w:jc w:val="left"/>
        <w:tblInd w:w="312.27584838867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C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631"/>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w:t>
      </w:r>
    </w:p>
    <w:tbl>
      <w:tblPr>
        <w:tblStyle w:val="Table632"/>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w:t>
      </w:r>
    </w:p>
    <w:tbl>
      <w:tblPr>
        <w:tblStyle w:val="Table633"/>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634"/>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635"/>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D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D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0561523438" w:line="242.8056907653808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139.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Marketing Contact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and update any fields if required, before continuing to the next page. </w:t>
      </w:r>
    </w:p>
    <w:p w:rsidR="00000000" w:rsidDel="00000000" w:rsidP="00000000" w:rsidRDefault="00000000" w:rsidRPr="00000000" w14:paraId="00000D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278686523437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Contact name </w:t>
      </w:r>
    </w:p>
    <w:tbl>
      <w:tblPr>
        <w:tblStyle w:val="Table636"/>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organisation </w:t>
      </w:r>
    </w:p>
    <w:tbl>
      <w:tblPr>
        <w:tblStyle w:val="Table637"/>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8427734375"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w:t>
            </w:r>
          </w:p>
        </w:tc>
      </w:tr>
    </w:tbl>
    <w:p w:rsidR="00000000" w:rsidDel="00000000" w:rsidP="00000000" w:rsidRDefault="00000000" w:rsidRPr="00000000" w14:paraId="00000D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D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1898193359375"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You can update your contact details at </w:t>
      </w:r>
    </w:p>
    <w:p w:rsidR="00000000" w:rsidDel="00000000" w:rsidP="00000000" w:rsidRDefault="00000000" w:rsidRPr="00000000" w14:paraId="00000D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any point during the lifetime of the DPS, </w:t>
      </w:r>
    </w:p>
    <w:p w:rsidR="00000000" w:rsidDel="00000000" w:rsidP="00000000" w:rsidRDefault="00000000" w:rsidRPr="00000000" w14:paraId="00000D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67138671875"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by updating your RM6241 Housing </w:t>
      </w:r>
    </w:p>
    <w:p w:rsidR="00000000" w:rsidDel="00000000" w:rsidP="00000000" w:rsidRDefault="00000000" w:rsidRPr="00000000" w14:paraId="00000D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Maintenance and Repair DPSQ. </w:t>
      </w:r>
    </w:p>
    <w:p w:rsidR="00000000" w:rsidDel="00000000" w:rsidP="00000000" w:rsidRDefault="00000000" w:rsidRPr="00000000" w14:paraId="00000D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8.0032348632812" w:line="240"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31.484375" w:top="446.640625" w:left="867.0106506347656" w:right="861.661376953125" w:header="0" w:footer="720"/>
          <w:cols w:equalWidth="0" w:num="2">
            <w:col w:space="0" w:w="5100"/>
            <w:col w:space="0" w:w="5100"/>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73/82</w:t>
      </w:r>
    </w:p>
    <w:p w:rsidR="00000000" w:rsidDel="00000000" w:rsidP="00000000" w:rsidRDefault="00000000" w:rsidRPr="00000000" w14:paraId="00000D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63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D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63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Telephone number </w:t>
      </w:r>
    </w:p>
    <w:tbl>
      <w:tblPr>
        <w:tblStyle w:val="Table64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0985717773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E-mail address </w:t>
      </w:r>
    </w:p>
    <w:tbl>
      <w:tblPr>
        <w:tblStyle w:val="Table64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54119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D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212158203125"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642"/>
        <w:tblW w:w="3771.3323974609375" w:type="dxa"/>
        <w:jc w:val="left"/>
        <w:tblInd w:w="326.160125732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D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64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w:t>
      </w:r>
    </w:p>
    <w:tbl>
      <w:tblPr>
        <w:tblStyle w:val="Table64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w:t>
      </w:r>
    </w:p>
    <w:tbl>
      <w:tblPr>
        <w:tblStyle w:val="Table64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64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64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D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D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0561523438"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Thank you for completing the Housing Maintenance and Repair DPS </w:t>
      </w:r>
    </w:p>
    <w:p w:rsidR="00000000" w:rsidDel="00000000" w:rsidP="00000000" w:rsidRDefault="00000000" w:rsidRPr="00000000" w14:paraId="00000D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18.25614929199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questionnaire. </w:t>
      </w:r>
    </w:p>
    <w:p w:rsidR="00000000" w:rsidDel="00000000" w:rsidP="00000000" w:rsidRDefault="00000000" w:rsidRPr="00000000" w14:paraId="00000D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333251953125" w:line="240" w:lineRule="auto"/>
        <w:ind w:left="27.1680450439453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By providing this information you confirm that you are an authorised </w:t>
      </w:r>
    </w:p>
    <w:p w:rsidR="00000000" w:rsidDel="00000000" w:rsidP="00000000" w:rsidRDefault="00000000" w:rsidRPr="00000000" w14:paraId="00000D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224365234375" w:line="240" w:lineRule="auto"/>
        <w:ind w:left="25.486526489257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representative of the organisation for which you have responded. In addition, </w:t>
      </w:r>
    </w:p>
    <w:p w:rsidR="00000000" w:rsidDel="00000000" w:rsidP="00000000" w:rsidRDefault="00000000" w:rsidRPr="00000000" w14:paraId="00000D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74/82</w:t>
      </w:r>
    </w:p>
    <w:p w:rsidR="00000000" w:rsidDel="00000000" w:rsidP="00000000" w:rsidRDefault="00000000" w:rsidRPr="00000000" w14:paraId="00000D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486526489257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representative of the organisation for which you have responded. In addition, </w:t>
      </w:r>
    </w:p>
    <w:p w:rsidR="00000000" w:rsidDel="00000000" w:rsidP="00000000" w:rsidRDefault="00000000" w:rsidRPr="00000000" w14:paraId="00000D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confirms that the information you have provided for the questionnaire </w:t>
      </w:r>
    </w:p>
    <w:p w:rsidR="00000000" w:rsidDel="00000000" w:rsidP="00000000" w:rsidRDefault="00000000" w:rsidRPr="00000000" w14:paraId="00000D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5.486526489257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represents a true and honest account of your organisations performance and </w:t>
      </w:r>
    </w:p>
    <w:p w:rsidR="00000000" w:rsidDel="00000000" w:rsidP="00000000" w:rsidRDefault="00000000" w:rsidRPr="00000000" w14:paraId="00000D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that no information has been omitted which should reasonably have been </w:t>
      </w:r>
    </w:p>
    <w:p w:rsidR="00000000" w:rsidDel="00000000" w:rsidP="00000000" w:rsidRDefault="00000000" w:rsidRPr="00000000" w14:paraId="00000D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19.6013641357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shared. </w:t>
      </w:r>
    </w:p>
    <w:p w:rsidR="00000000" w:rsidDel="00000000" w:rsidP="00000000" w:rsidRDefault="00000000" w:rsidRPr="00000000" w14:paraId="00000D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To review your answers and make any final amendments prior to sending, </w:t>
      </w:r>
    </w:p>
    <w:p w:rsidR="00000000" w:rsidDel="00000000" w:rsidP="00000000" w:rsidRDefault="00000000" w:rsidRPr="00000000" w14:paraId="00000D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2.9643249511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click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"Save and view answers"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below. </w:t>
      </w:r>
    </w:p>
    <w:p w:rsidR="00000000" w:rsidDel="00000000" w:rsidP="00000000" w:rsidRDefault="00000000" w:rsidRPr="00000000" w14:paraId="00000D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To submit your Housing Maintenance and Repair DPS questionnaire, please </w:t>
      </w:r>
    </w:p>
    <w:p w:rsidR="00000000" w:rsidDel="00000000" w:rsidP="00000000" w:rsidRDefault="00000000" w:rsidRPr="00000000" w14:paraId="00000D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19.096908569335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click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"Continue"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below. </w:t>
      </w:r>
    </w:p>
    <w:p w:rsidR="00000000" w:rsidDel="00000000" w:rsidP="00000000" w:rsidRDefault="00000000" w:rsidRPr="00000000" w14:paraId="00000D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7.423095703125"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D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361328125"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142.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Have you reviewed the related self cleaning evidence? </w:t>
      </w:r>
    </w:p>
    <w:p w:rsidR="00000000" w:rsidDel="00000000" w:rsidP="00000000" w:rsidRDefault="00000000" w:rsidRPr="00000000" w14:paraId="00000D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2329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D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585449218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D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2470703125" w:line="240" w:lineRule="auto"/>
        <w:ind w:left="30.0985717773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Explain the reason why self cleaning evidence is not reviewed </w:t>
      </w:r>
    </w:p>
    <w:tbl>
      <w:tblPr>
        <w:tblStyle w:val="Table648"/>
        <w:tblW w:w="5296.68014526367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96.680145263672"/>
        <w:tblGridChange w:id="0">
          <w:tblGrid>
            <w:gridCol w:w="5296.680145263672"/>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143.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Are you satisfied with the evidence and explanation provided by </w:t>
      </w:r>
    </w:p>
    <w:p w:rsidR="00000000" w:rsidDel="00000000" w:rsidP="00000000" w:rsidRDefault="00000000" w:rsidRPr="00000000" w14:paraId="00000D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 supplier? </w:t>
      </w:r>
    </w:p>
    <w:p w:rsidR="00000000" w:rsidDel="00000000" w:rsidP="00000000" w:rsidRDefault="00000000" w:rsidRPr="00000000" w14:paraId="00000D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2329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D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1596679688"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D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2470703125" w:line="240" w:lineRule="auto"/>
        <w:ind w:left="30.0985717773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Explain the reason why you are not satisfied with the evidence or </w:t>
      </w:r>
    </w:p>
    <w:p w:rsidR="00000000" w:rsidDel="00000000" w:rsidP="00000000" w:rsidRDefault="00000000" w:rsidRPr="00000000" w14:paraId="00000D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59033203125" w:line="240" w:lineRule="auto"/>
        <w:ind w:left="21.09062194824218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explanation provided by supplier </w:t>
      </w:r>
    </w:p>
    <w:tbl>
      <w:tblPr>
        <w:tblStyle w:val="Table649"/>
        <w:tblW w:w="5296.68014526367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96.680145263672"/>
        <w:tblGridChange w:id="0">
          <w:tblGrid>
            <w:gridCol w:w="5296.680145263672"/>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D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9035644531"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144.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one of the following actions for this supplier </w:t>
      </w:r>
    </w:p>
    <w:p w:rsidR="00000000" w:rsidDel="00000000" w:rsidP="00000000" w:rsidRDefault="00000000" w:rsidRPr="00000000" w14:paraId="00000D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224365234375" w:line="240" w:lineRule="auto"/>
        <w:ind w:left="19.6013641357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submission. </w:t>
      </w:r>
    </w:p>
    <w:p w:rsidR="00000000" w:rsidDel="00000000" w:rsidP="00000000" w:rsidRDefault="00000000" w:rsidRPr="00000000" w14:paraId="00000D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75/82</w:t>
      </w:r>
    </w:p>
    <w:p w:rsidR="00000000" w:rsidDel="00000000" w:rsidP="00000000" w:rsidRDefault="00000000" w:rsidRPr="00000000" w14:paraId="00000D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6013641357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submission. </w:t>
      </w:r>
    </w:p>
    <w:p w:rsidR="00000000" w:rsidDel="00000000" w:rsidP="00000000" w:rsidRDefault="00000000" w:rsidRPr="00000000" w14:paraId="00000D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23291015625" w:line="240" w:lineRule="auto"/>
        <w:ind w:left="634.72473144531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Direct this submission to the Registered 1 stage </w:t>
      </w:r>
    </w:p>
    <w:p w:rsidR="00000000" w:rsidDel="00000000" w:rsidP="00000000" w:rsidRDefault="00000000" w:rsidRPr="00000000" w14:paraId="00000D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35.63751220703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Reject this submission from the Housing </w:t>
      </w:r>
    </w:p>
    <w:p w:rsidR="00000000" w:rsidDel="00000000" w:rsidP="00000000" w:rsidRDefault="00000000" w:rsidRPr="00000000" w14:paraId="00000D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240" w:lineRule="auto"/>
        <w:ind w:left="631.529998779296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Maintenance and Repair DPS </w:t>
      </w:r>
    </w:p>
    <w:p w:rsidR="00000000" w:rsidDel="00000000" w:rsidP="00000000" w:rsidRDefault="00000000" w:rsidRPr="00000000" w14:paraId="00000D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2.33642578125" w:line="242.80614852905273" w:lineRule="auto"/>
        <w:ind w:left="28.8494873046875" w:right="4672.6513671875" w:hanging="6.894073486328125"/>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Confirm the rejection of this supplier for Housing Maintenance and Repair DPS </w:t>
      </w:r>
    </w:p>
    <w:p w:rsidR="00000000" w:rsidDel="00000000" w:rsidP="00000000" w:rsidRDefault="00000000" w:rsidRPr="00000000" w14:paraId="00000D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248046875" w:line="239.88341331481934" w:lineRule="auto"/>
        <w:ind w:left="21.450958251953125" w:right="4366.5576171875" w:firstLine="8.647613525390625"/>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Explain the reason for rejection of this supplier for Housing Maintenance and Repair DPSQ. </w:t>
      </w:r>
    </w:p>
    <w:tbl>
      <w:tblPr>
        <w:tblStyle w:val="Table650"/>
        <w:tblW w:w="5296.68014526367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96.680145263672"/>
        <w:tblGridChange w:id="0">
          <w:tblGrid>
            <w:gridCol w:w="5296.680145263672"/>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8494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Date supplier can reapply </w:t>
      </w:r>
    </w:p>
    <w:p w:rsidR="00000000" w:rsidDel="00000000" w:rsidP="00000000" w:rsidRDefault="00000000" w:rsidRPr="00000000" w14:paraId="00000D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Day </w:t>
      </w:r>
    </w:p>
    <w:p w:rsidR="00000000" w:rsidDel="00000000" w:rsidP="00000000" w:rsidRDefault="00000000" w:rsidRPr="00000000" w14:paraId="00000D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651367187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(DD) </w:t>
      </w:r>
    </w:p>
    <w:tbl>
      <w:tblPr>
        <w:tblStyle w:val="Table651"/>
        <w:tblW w:w="528.4669494628906"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8.4669494628906"/>
        <w:tblGridChange w:id="0">
          <w:tblGrid>
            <w:gridCol w:w="528.4669494628906"/>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88341331481934"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Month (MM) </w:t>
      </w:r>
    </w:p>
    <w:tbl>
      <w:tblPr>
        <w:tblStyle w:val="Table652"/>
        <w:tblW w:w="528.4669494628906" w:type="dxa"/>
        <w:jc w:val="left"/>
        <w:tblInd w:w="80.84899902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8.4669494628906"/>
        <w:tblGridChange w:id="0">
          <w:tblGrid>
            <w:gridCol w:w="528.4669494628906"/>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Year </w:t>
      </w:r>
    </w:p>
    <w:p w:rsidR="00000000" w:rsidDel="00000000" w:rsidP="00000000" w:rsidRDefault="00000000" w:rsidRPr="00000000" w14:paraId="00000D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651367187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(YYYY) </w:t>
      </w:r>
    </w:p>
    <w:tbl>
      <w:tblPr>
        <w:tblStyle w:val="Table653"/>
        <w:tblW w:w="696.6156005859375" w:type="dxa"/>
        <w:jc w:val="left"/>
        <w:tblInd w:w="161.6979980468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6.6156005859375"/>
        <w:tblGridChange w:id="0">
          <w:tblGrid>
            <w:gridCol w:w="696.6156005859375"/>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6840" w:w="11900" w:orient="portrait"/>
          <w:pgMar w:bottom="731.484375" w:top="446.640625" w:left="867.0106506347656" w:right="8414.675903320312" w:header="0" w:footer="720"/>
          <w:cols w:equalWidth="0" w:num="3">
            <w:col w:space="0" w:w="880"/>
            <w:col w:space="0" w:w="880"/>
            <w:col w:space="0" w:w="880"/>
          </w:cols>
        </w:sectPr>
      </w:pPr>
      <w:r w:rsidDel="00000000" w:rsidR="00000000" w:rsidRPr="00000000">
        <w:rPr>
          <w:rtl w:val="0"/>
        </w:rPr>
      </w:r>
    </w:p>
    <w:p w:rsidR="00000000" w:rsidDel="00000000" w:rsidP="00000000" w:rsidRDefault="00000000" w:rsidRPr="00000000" w14:paraId="00000D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D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0" w:lineRule="auto"/>
        <w:ind w:left="29.18579101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review and confirm your agreement to the following DPS </w:t>
      </w:r>
    </w:p>
    <w:p w:rsidR="00000000" w:rsidDel="00000000" w:rsidP="00000000" w:rsidRDefault="00000000" w:rsidRPr="00000000" w14:paraId="00000D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16.742782592773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Appointment Form information, before proceeding with your </w:t>
      </w:r>
    </w:p>
    <w:p w:rsidR="00000000" w:rsidDel="00000000" w:rsidP="00000000" w:rsidRDefault="00000000" w:rsidRPr="00000000" w14:paraId="00000D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20.9465026855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application for the RM6241 Housing Maintenance and Repair. </w:t>
      </w:r>
    </w:p>
    <w:p w:rsidR="00000000" w:rsidDel="00000000" w:rsidP="00000000" w:rsidRDefault="00000000" w:rsidRPr="00000000" w14:paraId="00000D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3326416015625" w:line="240" w:lineRule="auto"/>
        <w:ind w:left="21.282806396484375"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Crown Commercial Service </w:t>
      </w:r>
    </w:p>
    <w:p w:rsidR="00000000" w:rsidDel="00000000" w:rsidP="00000000" w:rsidRDefault="00000000" w:rsidRPr="00000000" w14:paraId="00000D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 Minister for the Cabinet Office represented by its executive agency the </w:t>
      </w:r>
    </w:p>
    <w:p w:rsidR="00000000" w:rsidDel="00000000" w:rsidP="00000000" w:rsidRDefault="00000000" w:rsidRPr="00000000" w14:paraId="00000D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21.95541381835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Crown Commercial Service (CCS). </w:t>
      </w:r>
    </w:p>
    <w:p w:rsidR="00000000" w:rsidDel="00000000" w:rsidP="00000000" w:rsidRDefault="00000000" w:rsidRPr="00000000" w14:paraId="00000D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30.69915771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Its offices are on: 9th Floor, The Capital, Old Hall Street, Liverpool L3 9PP. </w:t>
      </w:r>
    </w:p>
    <w:p w:rsidR="00000000" w:rsidDel="00000000" w:rsidP="00000000" w:rsidRDefault="00000000" w:rsidRPr="00000000" w14:paraId="00000D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295166015625" w:line="240" w:lineRule="auto"/>
        <w:ind w:left="19.265060424804688"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Supplier </w:t>
      </w:r>
    </w:p>
    <w:p w:rsidR="00000000" w:rsidDel="00000000" w:rsidP="00000000" w:rsidRDefault="00000000" w:rsidRPr="00000000" w14:paraId="00000D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 name, address, and registration number of the Supplier will be captured </w:t>
      </w:r>
    </w:p>
    <w:p w:rsidR="00000000" w:rsidDel="00000000" w:rsidP="00000000" w:rsidRDefault="00000000" w:rsidRPr="00000000" w14:paraId="00000D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20.9465026855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as part of the selection questionnaire during the DPS Registration process. </w:t>
      </w:r>
    </w:p>
    <w:p w:rsidR="00000000" w:rsidDel="00000000" w:rsidP="00000000" w:rsidRDefault="00000000" w:rsidRPr="00000000" w14:paraId="00000D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295166015625" w:line="240" w:lineRule="auto"/>
        <w:ind w:left="26.831741333007812"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Dynamic Purchasing System Contract </w:t>
      </w:r>
    </w:p>
    <w:p w:rsidR="00000000" w:rsidDel="00000000" w:rsidP="00000000" w:rsidRDefault="00000000" w:rsidRPr="00000000" w14:paraId="00000D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dynamic purchasing system access agreement between CCS and the </w:t>
      </w:r>
    </w:p>
    <w:p w:rsidR="00000000" w:rsidDel="00000000" w:rsidP="00000000" w:rsidRDefault="00000000" w:rsidRPr="00000000" w14:paraId="00000D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1.95541381835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Supplier allows the Supplier to be considered for Order Contracts to supply </w:t>
      </w:r>
    </w:p>
    <w:p w:rsidR="00000000" w:rsidDel="00000000" w:rsidP="00000000" w:rsidRDefault="00000000" w:rsidRPr="00000000" w14:paraId="00000D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 Deliverables in Service Filter Categories as detailed in bid pack </w:t>
      </w:r>
    </w:p>
    <w:p w:rsidR="00000000" w:rsidDel="00000000" w:rsidP="00000000" w:rsidRDefault="00000000" w:rsidRPr="00000000" w14:paraId="00000D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16.742782592773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Attachment 1- Products and Service Matrix. You cannot deliver in any other </w:t>
      </w:r>
    </w:p>
    <w:p w:rsidR="00000000" w:rsidDel="00000000" w:rsidP="00000000" w:rsidRDefault="00000000" w:rsidRPr="00000000" w14:paraId="00000D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9.0176391601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Filter Categories under this Contract. Any references made to other Filter </w:t>
      </w:r>
    </w:p>
    <w:p w:rsidR="00000000" w:rsidDel="00000000" w:rsidP="00000000" w:rsidRDefault="00000000" w:rsidRPr="00000000" w14:paraId="00000D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1.95541381835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Categories in this Contract do not apply. </w:t>
      </w:r>
    </w:p>
    <w:p w:rsidR="00000000" w:rsidDel="00000000" w:rsidP="00000000" w:rsidRDefault="00000000" w:rsidRPr="00000000" w14:paraId="00000D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opportunity is advertised in the Contract Notice in the Official Journal of </w:t>
      </w:r>
    </w:p>
    <w:p w:rsidR="00000000" w:rsidDel="00000000" w:rsidP="00000000" w:rsidRDefault="00000000" w:rsidRPr="00000000" w14:paraId="00000D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 European Union RM6241 (OJEU Notice). </w:t>
      </w:r>
    </w:p>
    <w:p w:rsidR="00000000" w:rsidDel="00000000" w:rsidP="00000000" w:rsidRDefault="00000000" w:rsidRPr="00000000" w14:paraId="00000D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26.831741333007812"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Deliverables </w:t>
      </w:r>
    </w:p>
    <w:p w:rsidR="00000000" w:rsidDel="00000000" w:rsidP="00000000" w:rsidRDefault="00000000" w:rsidRPr="00000000" w14:paraId="00000D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09.00863647460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Digital Training &amp; Support Services </w:t>
      </w:r>
    </w:p>
    <w:p w:rsidR="00000000" w:rsidDel="00000000" w:rsidP="00000000" w:rsidRDefault="00000000" w:rsidRPr="00000000" w14:paraId="00000D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02.11456298828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See DPS Schedule 1 (Specification) for further details. </w:t>
      </w:r>
    </w:p>
    <w:p w:rsidR="00000000" w:rsidDel="00000000" w:rsidP="00000000" w:rsidRDefault="00000000" w:rsidRPr="00000000" w14:paraId="00000D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302001953125" w:line="240" w:lineRule="auto"/>
        <w:ind w:left="26.831741333007812"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Dynamic Purchasing System Start Date </w:t>
      </w:r>
    </w:p>
    <w:p w:rsidR="00000000" w:rsidDel="00000000" w:rsidP="00000000" w:rsidRDefault="00000000" w:rsidRPr="00000000" w14:paraId="00000D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 date in which you agree to the Terms and Conditions; and become </w:t>
      </w:r>
    </w:p>
    <w:p w:rsidR="00000000" w:rsidDel="00000000" w:rsidP="00000000" w:rsidRDefault="00000000" w:rsidRPr="00000000" w14:paraId="00000D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1.95541381835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'Appointed' to the DPS as detailed in paragraph 6.7 of this DPS Needs </w:t>
      </w:r>
    </w:p>
    <w:p w:rsidR="00000000" w:rsidDel="00000000" w:rsidP="00000000" w:rsidRDefault="00000000" w:rsidRPr="00000000" w14:paraId="00000D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18.25614929199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document, is the start date of your DPS Agreement. If you become appointed </w:t>
      </w:r>
    </w:p>
    <w:p w:rsidR="00000000" w:rsidDel="00000000" w:rsidP="00000000" w:rsidRDefault="00000000" w:rsidRPr="00000000" w14:paraId="00000D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76/82</w:t>
      </w:r>
    </w:p>
    <w:p w:rsidR="00000000" w:rsidDel="00000000" w:rsidP="00000000" w:rsidRDefault="00000000" w:rsidRPr="00000000" w14:paraId="00000D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5614929199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document, is the start date of your DPS Agreement. If you become appointed </w:t>
      </w:r>
    </w:p>
    <w:p w:rsidR="00000000" w:rsidDel="00000000" w:rsidP="00000000" w:rsidRDefault="00000000" w:rsidRPr="00000000" w14:paraId="00000D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4.982070922851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the first thirty (30) days from the date of the OJEU submission (21/05/2020) </w:t>
      </w:r>
    </w:p>
    <w:p w:rsidR="00000000" w:rsidDel="00000000" w:rsidP="00000000" w:rsidRDefault="00000000" w:rsidRPr="00000000" w14:paraId="00000D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17.247238159179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your DPS agreement start date will be 22/06/2020. </w:t>
      </w:r>
    </w:p>
    <w:p w:rsidR="00000000" w:rsidDel="00000000" w:rsidP="00000000" w:rsidRDefault="00000000" w:rsidRPr="00000000" w14:paraId="00000D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29150390625" w:line="240" w:lineRule="auto"/>
        <w:ind w:left="27.756500244140625"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1"/>
          <w:i w:val="0"/>
          <w:smallCaps w:val="0"/>
          <w:strike w:val="0"/>
          <w:color w:val="0b0c0c"/>
          <w:sz w:val="18.015918731689453"/>
          <w:szCs w:val="18.015918731689453"/>
          <w:u w:val="none"/>
          <w:shd w:fill="auto" w:val="clear"/>
          <w:vertAlign w:val="baseline"/>
          <w:rtl w:val="0"/>
        </w:rPr>
        <w:t xml:space="preserve">Dynamic Purchasing System Expiry Date </w:t>
      </w:r>
    </w:p>
    <w:tbl>
      <w:tblPr>
        <w:tblStyle w:val="Table65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756500244140625"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1"/>
          <w:i w:val="0"/>
          <w:smallCaps w:val="0"/>
          <w:strike w:val="0"/>
          <w:color w:val="0b0c0c"/>
          <w:sz w:val="18.015918731689453"/>
          <w:szCs w:val="18.015918731689453"/>
          <w:u w:val="none"/>
          <w:shd w:fill="auto" w:val="clear"/>
          <w:vertAlign w:val="baseline"/>
          <w:rtl w:val="0"/>
        </w:rPr>
        <w:t xml:space="preserve">DPS Optional Extension Period </w:t>
      </w:r>
    </w:p>
    <w:tbl>
      <w:tblPr>
        <w:tblStyle w:val="Table65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D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361328125" w:line="240" w:lineRule="auto"/>
        <w:ind w:left="29.18579101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review the following DPS Incorporated Terms, before </w:t>
      </w:r>
    </w:p>
    <w:p w:rsidR="00000000" w:rsidDel="00000000" w:rsidP="00000000" w:rsidRDefault="00000000" w:rsidRPr="00000000" w14:paraId="00000D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2.9643249511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proceeding with your application for the RM6241 Housing </w:t>
      </w:r>
    </w:p>
    <w:p w:rsidR="00000000" w:rsidDel="00000000" w:rsidP="00000000" w:rsidRDefault="00000000" w:rsidRPr="00000000" w14:paraId="00000D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6.4954376220703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Maintenance and Repair. </w:t>
      </w:r>
    </w:p>
    <w:p w:rsidR="00000000" w:rsidDel="00000000" w:rsidP="00000000" w:rsidRDefault="00000000" w:rsidRPr="00000000" w14:paraId="00000D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 following documents are incorporated into the DPS Contract. </w:t>
      </w:r>
    </w:p>
    <w:p w:rsidR="00000000" w:rsidDel="00000000" w:rsidP="00000000" w:rsidRDefault="00000000" w:rsidRPr="00000000" w14:paraId="00000D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17.58354187011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Where numbers are missing we are not using these schedules. If the </w:t>
      </w:r>
    </w:p>
    <w:p w:rsidR="00000000" w:rsidDel="00000000" w:rsidP="00000000" w:rsidRDefault="00000000" w:rsidRPr="00000000" w14:paraId="00000D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8.25614929199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documents conflict, the following order of precedence applies: </w:t>
      </w:r>
    </w:p>
    <w:p w:rsidR="00000000" w:rsidDel="00000000" w:rsidP="00000000" w:rsidRDefault="00000000" w:rsidRPr="00000000" w14:paraId="00000D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545166015625" w:line="240" w:lineRule="auto"/>
        <w:ind w:left="103.0990600585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1. This DPS Appointment Form </w:t>
      </w:r>
    </w:p>
    <w:p w:rsidR="00000000" w:rsidDel="00000000" w:rsidP="00000000" w:rsidRDefault="00000000" w:rsidRPr="00000000" w14:paraId="00000D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91.66496276855469"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2. Any DPS Special Terms (see Section 9 'DPS Special Terms' in the DPS </w:t>
      </w:r>
    </w:p>
    <w:p w:rsidR="00000000" w:rsidDel="00000000" w:rsidP="00000000" w:rsidRDefault="00000000" w:rsidRPr="00000000" w14:paraId="00000D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317.008056640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Appointment Form) </w:t>
      </w:r>
    </w:p>
    <w:p w:rsidR="00000000" w:rsidDel="00000000" w:rsidP="00000000" w:rsidRDefault="00000000" w:rsidRPr="00000000" w14:paraId="00000D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91.32865905761719"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3. Joint Schedule 1 (Definitions) RM6241 </w:t>
      </w:r>
    </w:p>
    <w:p w:rsidR="00000000" w:rsidDel="00000000" w:rsidP="00000000" w:rsidRDefault="00000000" w:rsidRPr="00000000" w14:paraId="00000D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90.65605163574219"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4. Joint Schedule 11 (Processing Data) RM6241 </w:t>
      </w:r>
    </w:p>
    <w:p w:rsidR="00000000" w:rsidDel="00000000" w:rsidP="00000000" w:rsidRDefault="00000000" w:rsidRPr="00000000" w14:paraId="00000D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91.83303833007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5. The following Schedules for RM6241 (in equal order of precedence): </w:t>
      </w:r>
    </w:p>
    <w:p w:rsidR="00000000" w:rsidDel="00000000" w:rsidP="00000000" w:rsidRDefault="00000000" w:rsidRPr="00000000" w14:paraId="00000D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295166015625" w:line="240" w:lineRule="auto"/>
        <w:ind w:left="629.380035400390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DPS Schedule 1 (Specification) </w:t>
      </w:r>
    </w:p>
    <w:p w:rsidR="00000000" w:rsidDel="00000000" w:rsidP="00000000" w:rsidRDefault="00000000" w:rsidRPr="00000000" w14:paraId="00000D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629.380035400390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DPS Schedule 4 (DPS Management) </w:t>
      </w:r>
    </w:p>
    <w:p w:rsidR="00000000" w:rsidDel="00000000" w:rsidP="00000000" w:rsidRDefault="00000000" w:rsidRPr="00000000" w14:paraId="00000D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629.380035400390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DPS Schedule 5 (Management Levy and Information) </w:t>
      </w:r>
    </w:p>
    <w:p w:rsidR="00000000" w:rsidDel="00000000" w:rsidP="00000000" w:rsidRDefault="00000000" w:rsidRPr="00000000" w14:paraId="00000D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629.380035400390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DPS Schedule 6 (Order Form Template and Order Schedules) </w:t>
      </w:r>
    </w:p>
    <w:p w:rsidR="00000000" w:rsidDel="00000000" w:rsidP="00000000" w:rsidRDefault="00000000" w:rsidRPr="00000000" w14:paraId="00000D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625.512695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including the following template Order Schedules: </w:t>
      </w:r>
    </w:p>
    <w:p w:rsidR="00000000" w:rsidDel="00000000" w:rsidP="00000000" w:rsidRDefault="00000000" w:rsidRPr="00000000" w14:paraId="00000D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1 (Transparency Reports) </w:t>
      </w:r>
    </w:p>
    <w:p w:rsidR="00000000" w:rsidDel="00000000" w:rsidP="00000000" w:rsidRDefault="00000000" w:rsidRPr="00000000" w14:paraId="00000D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2 (Staff Transfer) </w:t>
      </w:r>
    </w:p>
    <w:p w:rsidR="00000000" w:rsidDel="00000000" w:rsidP="00000000" w:rsidRDefault="00000000" w:rsidRPr="00000000" w14:paraId="00000D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3 (Continuous Improvement) </w:t>
      </w:r>
    </w:p>
    <w:p w:rsidR="00000000" w:rsidDel="00000000" w:rsidP="00000000" w:rsidRDefault="00000000" w:rsidRPr="00000000" w14:paraId="00000D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4 (Order Tender) </w:t>
      </w:r>
    </w:p>
    <w:p w:rsidR="00000000" w:rsidDel="00000000" w:rsidP="00000000" w:rsidRDefault="00000000" w:rsidRPr="00000000" w14:paraId="00000D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5 (Pricing Details) </w:t>
      </w:r>
    </w:p>
    <w:p w:rsidR="00000000" w:rsidDel="00000000" w:rsidP="00000000" w:rsidRDefault="00000000" w:rsidRPr="00000000" w14:paraId="00000D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6 (ICT Services) </w:t>
      </w:r>
    </w:p>
    <w:p w:rsidR="00000000" w:rsidDel="00000000" w:rsidP="00000000" w:rsidRDefault="00000000" w:rsidRPr="00000000" w14:paraId="00000D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7 (Key Supplier Staff) </w:t>
      </w:r>
    </w:p>
    <w:p w:rsidR="00000000" w:rsidDel="00000000" w:rsidP="00000000" w:rsidRDefault="00000000" w:rsidRPr="00000000" w14:paraId="00000D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8 (Business Continuity and Disaster Recovery) </w:t>
      </w:r>
    </w:p>
    <w:p w:rsidR="00000000" w:rsidDel="00000000" w:rsidP="00000000" w:rsidRDefault="00000000" w:rsidRPr="00000000" w14:paraId="00000D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9 (Security) </w:t>
      </w:r>
    </w:p>
    <w:p w:rsidR="00000000" w:rsidDel="00000000" w:rsidP="00000000" w:rsidRDefault="00000000" w:rsidRPr="00000000" w14:paraId="00000D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10 (Exit Management) </w:t>
      </w:r>
    </w:p>
    <w:p w:rsidR="00000000" w:rsidDel="00000000" w:rsidP="00000000" w:rsidRDefault="00000000" w:rsidRPr="00000000" w14:paraId="00000D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12 (Clustering) </w:t>
      </w:r>
    </w:p>
    <w:p w:rsidR="00000000" w:rsidDel="00000000" w:rsidP="00000000" w:rsidRDefault="00000000" w:rsidRPr="00000000" w14:paraId="00000D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13 (Implementation Plan and Testing) </w:t>
      </w:r>
    </w:p>
    <w:p w:rsidR="00000000" w:rsidDel="00000000" w:rsidP="00000000" w:rsidRDefault="00000000" w:rsidRPr="00000000" w14:paraId="00000D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14 (Service Levels) </w:t>
      </w:r>
    </w:p>
    <w:p w:rsidR="00000000" w:rsidDel="00000000" w:rsidP="00000000" w:rsidRDefault="00000000" w:rsidRPr="00000000" w14:paraId="00000D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15 (Order Contract Management) </w:t>
      </w:r>
    </w:p>
    <w:p w:rsidR="00000000" w:rsidDel="00000000" w:rsidP="00000000" w:rsidRDefault="00000000" w:rsidRPr="00000000" w14:paraId="00000D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16 (Benchmarking) </w:t>
      </w:r>
    </w:p>
    <w:p w:rsidR="00000000" w:rsidDel="00000000" w:rsidP="00000000" w:rsidRDefault="00000000" w:rsidRPr="00000000" w14:paraId="00000D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17 (MOD Terms) </w:t>
      </w:r>
    </w:p>
    <w:p w:rsidR="00000000" w:rsidDel="00000000" w:rsidP="00000000" w:rsidRDefault="00000000" w:rsidRPr="00000000" w14:paraId="00000D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18 (Background Checks) </w:t>
      </w:r>
    </w:p>
    <w:p w:rsidR="00000000" w:rsidDel="00000000" w:rsidP="00000000" w:rsidRDefault="00000000" w:rsidRPr="00000000" w14:paraId="00000D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19 (Scottish Law) </w:t>
      </w:r>
    </w:p>
    <w:p w:rsidR="00000000" w:rsidDel="00000000" w:rsidP="00000000" w:rsidRDefault="00000000" w:rsidRPr="00000000" w14:paraId="00000D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20 (Order Specification) </w:t>
      </w:r>
    </w:p>
    <w:p w:rsidR="00000000" w:rsidDel="00000000" w:rsidP="00000000" w:rsidRDefault="00000000" w:rsidRPr="00000000" w14:paraId="00000D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21 (Northern Ireland Law) </w:t>
      </w:r>
    </w:p>
    <w:p w:rsidR="00000000" w:rsidDel="00000000" w:rsidP="00000000" w:rsidRDefault="00000000" w:rsidRPr="00000000" w14:paraId="00000D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23 (Supplier Furnished Terms) </w:t>
      </w:r>
    </w:p>
    <w:p w:rsidR="00000000" w:rsidDel="00000000" w:rsidP="00000000" w:rsidRDefault="00000000" w:rsidRPr="00000000" w14:paraId="00000D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629.380035400390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DPS Schedule 7 (Order Procedure) </w:t>
      </w:r>
    </w:p>
    <w:p w:rsidR="00000000" w:rsidDel="00000000" w:rsidP="00000000" w:rsidRDefault="00000000" w:rsidRPr="00000000" w14:paraId="00000D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629.380035400390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DPS Schedule 8 (Self Audit Certificate) </w:t>
      </w:r>
    </w:p>
    <w:p w:rsidR="00000000" w:rsidDel="00000000" w:rsidP="00000000" w:rsidRDefault="00000000" w:rsidRPr="00000000" w14:paraId="00000D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629.380035400390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DPS Schedule 9 (Cyber Essentials Scheme) </w:t>
      </w:r>
    </w:p>
    <w:p w:rsidR="00000000" w:rsidDel="00000000" w:rsidP="00000000" w:rsidRDefault="00000000" w:rsidRPr="00000000" w14:paraId="00000D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617.2734069824219"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Joint Schedule 2 (Variation Form) </w:t>
      </w:r>
    </w:p>
    <w:p w:rsidR="00000000" w:rsidDel="00000000" w:rsidP="00000000" w:rsidRDefault="00000000" w:rsidRPr="00000000" w14:paraId="00000D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617.2734069824219"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Joint Schedule 3 (Insurance Requirements) </w:t>
      </w:r>
    </w:p>
    <w:p w:rsidR="00000000" w:rsidDel="00000000" w:rsidP="00000000" w:rsidRDefault="00000000" w:rsidRPr="00000000" w14:paraId="00000D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617.2734069824219"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Joint Schedule 4 (Commercially Sensitive Information) </w:t>
      </w:r>
    </w:p>
    <w:p w:rsidR="00000000" w:rsidDel="00000000" w:rsidP="00000000" w:rsidRDefault="00000000" w:rsidRPr="00000000" w14:paraId="00000D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617.2734069824219"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Joint Schedule 6 (Key Subcontractors) </w:t>
      </w:r>
    </w:p>
    <w:p w:rsidR="00000000" w:rsidDel="00000000" w:rsidP="00000000" w:rsidRDefault="00000000" w:rsidRPr="00000000" w14:paraId="00000D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617.2734069824219"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Joint Schedule 7 (Financial Difficulties) </w:t>
      </w:r>
    </w:p>
    <w:p w:rsidR="00000000" w:rsidDel="00000000" w:rsidP="00000000" w:rsidRDefault="00000000" w:rsidRPr="00000000" w14:paraId="00000D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617.2734069824219"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Joint Schedule 8 (Guarantee) </w:t>
      </w:r>
    </w:p>
    <w:p w:rsidR="00000000" w:rsidDel="00000000" w:rsidP="00000000" w:rsidRDefault="00000000" w:rsidRPr="00000000" w14:paraId="00000D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77/82</w:t>
      </w:r>
    </w:p>
    <w:p w:rsidR="00000000" w:rsidDel="00000000" w:rsidP="00000000" w:rsidRDefault="00000000" w:rsidRPr="00000000" w14:paraId="00000D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7.2734069824219"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Joint Schedule 8 (Guarantee) </w:t>
      </w:r>
    </w:p>
    <w:p w:rsidR="00000000" w:rsidDel="00000000" w:rsidP="00000000" w:rsidRDefault="00000000" w:rsidRPr="00000000" w14:paraId="00000D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617.2734069824219"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Joint Schedule 10 (Rectification Plan) </w:t>
      </w:r>
    </w:p>
    <w:p w:rsidR="00000000" w:rsidDel="00000000" w:rsidP="00000000" w:rsidRDefault="00000000" w:rsidRPr="00000000" w14:paraId="00000D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93.17825317382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6. CCS Core Terms - DPS (version 1.0.1) </w:t>
      </w:r>
    </w:p>
    <w:p w:rsidR="00000000" w:rsidDel="00000000" w:rsidP="00000000" w:rsidRDefault="00000000" w:rsidRPr="00000000" w14:paraId="00000D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93.68270874023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7. Joint Schedule 5 (Corporate Social Responsibility) RM6241 </w:t>
      </w:r>
    </w:p>
    <w:p w:rsidR="00000000" w:rsidDel="00000000" w:rsidP="00000000" w:rsidRDefault="00000000" w:rsidRPr="00000000" w14:paraId="00000D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92.16934204101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8. DPS Schedule 2 (DPS Application) RM6241 as long as any part of the </w:t>
      </w:r>
    </w:p>
    <w:p w:rsidR="00000000" w:rsidDel="00000000" w:rsidP="00000000" w:rsidRDefault="00000000" w:rsidRPr="00000000" w14:paraId="00000D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329.1147613525390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DPS Application that offers a better commercial position for CCS or </w:t>
      </w:r>
    </w:p>
    <w:p w:rsidR="00000000" w:rsidDel="00000000" w:rsidP="00000000" w:rsidRDefault="00000000" w:rsidRPr="00000000" w14:paraId="00000D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327.4333190917969"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Buyers (as decided by CCS) take precedence over the documents above </w:t>
      </w:r>
    </w:p>
    <w:p w:rsidR="00000000" w:rsidDel="00000000" w:rsidP="00000000" w:rsidRDefault="00000000" w:rsidRPr="00000000" w14:paraId="00000D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6.407470703125"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D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73486328125" w:line="240" w:lineRule="auto"/>
        <w:ind w:left="29.18579101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review the following information, before proceeding with your </w:t>
      </w:r>
    </w:p>
    <w:p w:rsidR="00000000" w:rsidDel="00000000" w:rsidP="00000000" w:rsidRDefault="00000000" w:rsidRPr="00000000" w14:paraId="00000D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0.9465026855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application for the RM6241 Housing Maintenance and Repair. </w:t>
      </w:r>
    </w:p>
    <w:p w:rsidR="00000000" w:rsidDel="00000000" w:rsidP="00000000" w:rsidRDefault="00000000" w:rsidRPr="00000000" w14:paraId="00000D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55126953125" w:line="240" w:lineRule="auto"/>
        <w:ind w:left="26.831741333007812"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DPS Pricing </w:t>
      </w:r>
    </w:p>
    <w:p w:rsidR="00000000" w:rsidDel="00000000" w:rsidP="00000000" w:rsidRDefault="00000000" w:rsidRPr="00000000" w14:paraId="00000D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8.8494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Details in DPS Schedule 3 (DPS Pricing) </w:t>
      </w:r>
    </w:p>
    <w:p w:rsidR="00000000" w:rsidDel="00000000" w:rsidP="00000000" w:rsidRDefault="00000000" w:rsidRPr="00000000" w14:paraId="00000D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24.477615356445312"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Insurance </w:t>
      </w:r>
    </w:p>
    <w:p w:rsidR="00000000" w:rsidDel="00000000" w:rsidP="00000000" w:rsidRDefault="00000000" w:rsidRPr="00000000" w14:paraId="00000D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8.8494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Details in Annex of Joint Schedule 3 (Insurance Requirements). </w:t>
      </w:r>
    </w:p>
    <w:p w:rsidR="00000000" w:rsidDel="00000000" w:rsidP="00000000" w:rsidRDefault="00000000" w:rsidRPr="00000000" w14:paraId="00000D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21.282806396484375"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Cyber </w:t>
      </w:r>
    </w:p>
    <w:p w:rsidR="00000000" w:rsidDel="00000000" w:rsidP="00000000" w:rsidRDefault="00000000" w:rsidRPr="00000000" w14:paraId="00000D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09.17678833007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Essentials Certification </w:t>
      </w:r>
    </w:p>
    <w:p w:rsidR="00000000" w:rsidDel="00000000" w:rsidP="00000000" w:rsidRDefault="00000000" w:rsidRPr="00000000" w14:paraId="00000D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02.11456298828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Cyber Essentials Scheme Basic - see DPS Schedule 9 </w:t>
      </w:r>
    </w:p>
    <w:p w:rsidR="00000000" w:rsidDel="00000000" w:rsidP="00000000" w:rsidRDefault="00000000" w:rsidRPr="00000000" w14:paraId="00000D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6.348876953125" w:line="240" w:lineRule="auto"/>
        <w:ind w:left="24.982070922851562"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Management Levy </w:t>
      </w:r>
    </w:p>
    <w:p w:rsidR="00000000" w:rsidDel="00000000" w:rsidP="00000000" w:rsidRDefault="00000000" w:rsidRPr="00000000" w14:paraId="00000D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 Supplier will pay, excluding VAT, 0.5 % of all the Charges for the </w:t>
      </w:r>
    </w:p>
    <w:p w:rsidR="00000000" w:rsidDel="00000000" w:rsidP="00000000" w:rsidRDefault="00000000" w:rsidRPr="00000000" w14:paraId="00000D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28.8494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Deliverables invoiced to the Buyer under all Order Contracts. </w:t>
      </w:r>
    </w:p>
    <w:p w:rsidR="00000000" w:rsidDel="00000000" w:rsidP="00000000" w:rsidRDefault="00000000" w:rsidRPr="00000000" w14:paraId="00000D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2908935546875" w:line="240" w:lineRule="auto"/>
        <w:ind w:left="19.64935302734375"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1"/>
          <w:i w:val="0"/>
          <w:smallCaps w:val="0"/>
          <w:strike w:val="0"/>
          <w:color w:val="0b0c0c"/>
          <w:sz w:val="18.015918731689453"/>
          <w:szCs w:val="18.015918731689453"/>
          <w:u w:val="none"/>
          <w:shd w:fill="auto" w:val="clear"/>
          <w:vertAlign w:val="baseline"/>
          <w:rtl w:val="0"/>
        </w:rPr>
        <w:t xml:space="preserve">Supplier DPS Agreement Manager </w:t>
      </w:r>
    </w:p>
    <w:tbl>
      <w:tblPr>
        <w:tblStyle w:val="Table65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64935302734375"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1"/>
          <w:i w:val="0"/>
          <w:smallCaps w:val="0"/>
          <w:strike w:val="0"/>
          <w:color w:val="0b0c0c"/>
          <w:sz w:val="18.015918731689453"/>
          <w:szCs w:val="18.015918731689453"/>
          <w:u w:val="none"/>
          <w:shd w:fill="auto" w:val="clear"/>
          <w:vertAlign w:val="baseline"/>
          <w:rtl w:val="0"/>
        </w:rPr>
        <w:t xml:space="preserve">Supplier Authorised Representative </w:t>
      </w:r>
    </w:p>
    <w:tbl>
      <w:tblPr>
        <w:tblStyle w:val="Table65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64935302734375"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1"/>
          <w:i w:val="0"/>
          <w:smallCaps w:val="0"/>
          <w:strike w:val="0"/>
          <w:color w:val="0b0c0c"/>
          <w:sz w:val="18.015918731689453"/>
          <w:szCs w:val="18.015918731689453"/>
          <w:u w:val="none"/>
          <w:shd w:fill="auto" w:val="clear"/>
          <w:vertAlign w:val="baseline"/>
          <w:rtl w:val="0"/>
        </w:rPr>
        <w:t xml:space="preserve">Supplier Compliance Officer </w:t>
      </w:r>
    </w:p>
    <w:tbl>
      <w:tblPr>
        <w:tblStyle w:val="Table65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64935302734375"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1"/>
          <w:i w:val="0"/>
          <w:smallCaps w:val="0"/>
          <w:strike w:val="0"/>
          <w:color w:val="0b0c0c"/>
          <w:sz w:val="18.015918731689453"/>
          <w:szCs w:val="18.015918731689453"/>
          <w:u w:val="none"/>
          <w:shd w:fill="auto" w:val="clear"/>
          <w:vertAlign w:val="baseline"/>
          <w:rtl w:val="0"/>
        </w:rPr>
        <w:t xml:space="preserve">Supplier Data Protection Officer </w:t>
      </w:r>
    </w:p>
    <w:tbl>
      <w:tblPr>
        <w:tblStyle w:val="Table65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E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64935302734375"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1"/>
          <w:i w:val="0"/>
          <w:smallCaps w:val="0"/>
          <w:strike w:val="0"/>
          <w:color w:val="0b0c0c"/>
          <w:sz w:val="18.015918731689453"/>
          <w:szCs w:val="18.015918731689453"/>
          <w:u w:val="none"/>
          <w:shd w:fill="auto" w:val="clear"/>
          <w:vertAlign w:val="baseline"/>
          <w:rtl w:val="0"/>
        </w:rPr>
        <w:t xml:space="preserve">Supplier Marketing Contact </w:t>
      </w:r>
    </w:p>
    <w:tbl>
      <w:tblPr>
        <w:tblStyle w:val="Table66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E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327285766601562"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Key Subcontractors </w:t>
      </w:r>
    </w:p>
    <w:p w:rsidR="00000000" w:rsidDel="00000000" w:rsidP="00000000" w:rsidRDefault="00000000" w:rsidRPr="00000000" w14:paraId="00000E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55126953125" w:line="240" w:lineRule="auto"/>
        <w:ind w:left="28.8494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Details of subcontractors where applicable have been registered and provided </w:t>
      </w:r>
    </w:p>
    <w:p w:rsidR="00000000" w:rsidDel="00000000" w:rsidP="00000000" w:rsidRDefault="00000000" w:rsidRPr="00000000" w14:paraId="00000E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4.893188476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where applicable as part of your SQ DPS Submission. </w:t>
      </w:r>
    </w:p>
    <w:p w:rsidR="00000000" w:rsidDel="00000000" w:rsidP="00000000" w:rsidRDefault="00000000" w:rsidRPr="00000000" w14:paraId="00000E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8.3800506591797" w:line="240" w:lineRule="auto"/>
        <w:ind w:left="21.282806396484375"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CCS Authorised Representative </w:t>
      </w:r>
    </w:p>
    <w:p w:rsidR="00000000" w:rsidDel="00000000" w:rsidP="00000000" w:rsidRDefault="00000000" w:rsidRPr="00000000" w14:paraId="00000E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78/82</w:t>
      </w:r>
    </w:p>
    <w:p w:rsidR="00000000" w:rsidDel="00000000" w:rsidP="00000000" w:rsidRDefault="00000000" w:rsidRPr="00000000" w14:paraId="00000E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282806396484375"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CCS Authorised Representative </w:t>
      </w:r>
    </w:p>
    <w:p w:rsidR="00000000" w:rsidDel="00000000" w:rsidP="00000000" w:rsidRDefault="00000000" w:rsidRPr="00000000" w14:paraId="00000E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4462890625" w:line="240" w:lineRule="auto"/>
        <w:ind w:left="27.576370239257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w:t>
      </w:r>
    </w:p>
    <w:tbl>
      <w:tblPr>
        <w:tblStyle w:val="Table66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E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4702148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Job Title </w:t>
      </w:r>
    </w:p>
    <w:tbl>
      <w:tblPr>
        <w:tblStyle w:val="Table66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E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0985717773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Email Address </w:t>
      </w:r>
    </w:p>
    <w:tbl>
      <w:tblPr>
        <w:tblStyle w:val="Table66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E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Telephone </w:t>
      </w:r>
    </w:p>
    <w:tbl>
      <w:tblPr>
        <w:tblStyle w:val="Table66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E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75928497314453" w:lineRule="auto"/>
        <w:ind w:left="16.238327026367188" w:right="4329.1802978515625" w:firstLine="10.92971801757812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By selecting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"I Confirm"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you confirm that you comply with the above DPS Appointment Form statements and requirements. Once you have selected the tick box to confirm your compliance and acknowledgement of the above, select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'Save and continue'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to be presented with your non watermarked DPS Appointment Form. </w:t>
      </w:r>
    </w:p>
    <w:p w:rsidR="00000000" w:rsidDel="00000000" w:rsidP="00000000" w:rsidRDefault="00000000" w:rsidRPr="00000000" w14:paraId="00000E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66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E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987.11669921875" w:right="9263.572998046875" w:header="0" w:footer="720"/>
          <w:cols w:equalWidth="0" w:num="2">
            <w:col w:space="0" w:w="840"/>
            <w:col w:space="0" w:w="8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 Confirm </w:t>
      </w:r>
    </w:p>
    <w:p w:rsidR="00000000" w:rsidDel="00000000" w:rsidP="00000000" w:rsidRDefault="00000000" w:rsidRPr="00000000" w14:paraId="00000E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0.3631591796875"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E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0" w:lineRule="auto"/>
        <w:ind w:left="16.0701751708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You have successfully completed the SQ for Housing Maintenance </w:t>
      </w:r>
    </w:p>
    <w:p w:rsidR="00000000" w:rsidDel="00000000" w:rsidP="00000000" w:rsidRDefault="00000000" w:rsidRPr="00000000" w14:paraId="00000E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20.9465026855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and Repair DPS. The DPS Appointment Form will be electronically </w:t>
      </w:r>
    </w:p>
    <w:p w:rsidR="00000000" w:rsidDel="00000000" w:rsidP="00000000" w:rsidRDefault="00000000" w:rsidRPr="00000000" w14:paraId="00000E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19.6013641357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signed and managed by Crown Commercial Service (CCS) and you. </w:t>
      </w:r>
    </w:p>
    <w:p w:rsidR="00000000" w:rsidDel="00000000" w:rsidP="00000000" w:rsidRDefault="00000000" w:rsidRPr="00000000" w14:paraId="00000E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3326416015625" w:line="240" w:lineRule="auto"/>
        <w:ind w:left="29.0176391601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Final sign off to ensure a legally binding DPS Appointment Form between </w:t>
      </w:r>
    </w:p>
    <w:p w:rsidR="00000000" w:rsidDel="00000000" w:rsidP="00000000" w:rsidRDefault="00000000" w:rsidRPr="00000000" w14:paraId="00000E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21.95541381835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CCS and you is completed by you ticking your acceptance in the below box. </w:t>
      </w:r>
    </w:p>
    <w:p w:rsidR="00000000" w:rsidDel="00000000" w:rsidP="00000000" w:rsidRDefault="00000000" w:rsidRPr="00000000" w14:paraId="00000E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3013916015625" w:line="240" w:lineRule="auto"/>
        <w:ind w:left="27.1680450439453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By ticking, you are confirming that you comply with the following agreements </w:t>
      </w:r>
    </w:p>
    <w:p w:rsidR="00000000" w:rsidDel="00000000" w:rsidP="00000000" w:rsidRDefault="00000000" w:rsidRPr="00000000" w14:paraId="00000E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20.9465026855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and documentation, which you should download and retain: </w:t>
      </w:r>
    </w:p>
    <w:p w:rsidR="00000000" w:rsidDel="00000000" w:rsidP="00000000" w:rsidRDefault="00000000" w:rsidRPr="00000000" w14:paraId="00000E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209.00863647460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DPS Agreement</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(which includes Payment of management Levy) </w:t>
      </w:r>
    </w:p>
    <w:p w:rsidR="00000000" w:rsidDel="00000000" w:rsidP="00000000" w:rsidRDefault="00000000" w:rsidRPr="00000000" w14:paraId="00000E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09.34494018554688" w:right="0" w:firstLine="0"/>
        <w:jc w:val="left"/>
        <w:rPr>
          <w:rFonts w:ascii="Arial" w:cs="Arial" w:eastAsia="Arial" w:hAnsi="Arial"/>
          <w:b w:val="0"/>
          <w:i w:val="0"/>
          <w:smallCaps w:val="0"/>
          <w:strike w:val="0"/>
          <w:color w:val="0000ee"/>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Privacy Notice &amp; CCS DPS Terms of Use</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p>
    <w:p w:rsidR="00000000" w:rsidDel="00000000" w:rsidP="00000000" w:rsidRDefault="00000000" w:rsidRPr="00000000" w14:paraId="00000E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196.9019317626953"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Answer Link </w:t>
      </w:r>
    </w:p>
    <w:p w:rsidR="00000000" w:rsidDel="00000000" w:rsidP="00000000" w:rsidRDefault="00000000" w:rsidRPr="00000000" w14:paraId="00000E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09.00863647460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DPS Bid Pack</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(which includes the Terms and Conditions, DPS Needs and </w:t>
      </w:r>
    </w:p>
    <w:p w:rsidR="00000000" w:rsidDel="00000000" w:rsidP="00000000" w:rsidRDefault="00000000" w:rsidRPr="00000000" w14:paraId="00000E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02.11456298828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Customer Needs documents) </w:t>
      </w:r>
    </w:p>
    <w:p w:rsidR="00000000" w:rsidDel="00000000" w:rsidP="00000000" w:rsidRDefault="00000000" w:rsidRPr="00000000" w14:paraId="00000E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6.348876953125" w:line="240" w:lineRule="auto"/>
        <w:ind w:left="30.69915771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 are electronically signing the DPS Appointment Form for the RM6241 </w:t>
      </w:r>
    </w:p>
    <w:p w:rsidR="00000000" w:rsidDel="00000000" w:rsidP="00000000" w:rsidRDefault="00000000" w:rsidRPr="00000000" w14:paraId="00000E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7.8405761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Housing Maintenance and Repair as the lead contact for a Group of Economic </w:t>
      </w:r>
    </w:p>
    <w:p w:rsidR="00000000" w:rsidDel="00000000" w:rsidP="00000000" w:rsidRDefault="00000000" w:rsidRPr="00000000" w14:paraId="00000E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Operators (consortia) your electronic signature will be the signature that </w:t>
      </w:r>
    </w:p>
    <w:p w:rsidR="00000000" w:rsidDel="00000000" w:rsidP="00000000" w:rsidRDefault="00000000" w:rsidRPr="00000000" w14:paraId="00000E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5.486526489257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represents all members of the consortia as detailed within your submission for </w:t>
      </w:r>
    </w:p>
    <w:p w:rsidR="00000000" w:rsidDel="00000000" w:rsidP="00000000" w:rsidRDefault="00000000" w:rsidRPr="00000000" w14:paraId="00000E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DPS. </w:t>
      </w:r>
    </w:p>
    <w:p w:rsidR="00000000" w:rsidDel="00000000" w:rsidP="00000000" w:rsidRDefault="00000000" w:rsidRPr="00000000" w14:paraId="00000E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Once you have ticked that you agree to the covenants above you will be </w:t>
      </w:r>
    </w:p>
    <w:p w:rsidR="00000000" w:rsidDel="00000000" w:rsidP="00000000" w:rsidRDefault="00000000" w:rsidRPr="00000000" w14:paraId="00000E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6.9109344482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formally 'Appointed' to the DPS for Housing Maintenance and Repair </w:t>
      </w:r>
    </w:p>
    <w:p w:rsidR="00000000" w:rsidDel="00000000" w:rsidP="00000000" w:rsidRDefault="00000000" w:rsidRPr="00000000" w14:paraId="00000E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29.0176391601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Failure to tick that you agree at this stage will prevent you from securing your </w:t>
      </w:r>
    </w:p>
    <w:p w:rsidR="00000000" w:rsidDel="00000000" w:rsidP="00000000" w:rsidRDefault="00000000" w:rsidRPr="00000000" w14:paraId="00000E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0.9465026855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appointment on to the DPS for Housing Maintenance and Repair, as there will </w:t>
      </w:r>
    </w:p>
    <w:p w:rsidR="00000000" w:rsidDel="00000000" w:rsidP="00000000" w:rsidRDefault="00000000" w:rsidRPr="00000000" w14:paraId="00000E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75997924804688"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79/82</w:t>
      </w:r>
    </w:p>
    <w:p w:rsidR="00000000" w:rsidDel="00000000" w:rsidP="00000000" w:rsidRDefault="00000000" w:rsidRPr="00000000" w14:paraId="00000E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9643249511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31.484375" w:top="446.640625" w:left="853.1263732910156" w:right="861.661376953125" w:header="0" w:footer="720"/>
          <w:cols w:equalWidth="0" w:num="1">
            <w:col w:space="0" w:w="10185.21224975586"/>
          </w:cols>
        </w:sect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be no legally binding DMP Appointment Form between CCS and you. </w:t>
      </w:r>
    </w:p>
    <w:p w:rsidR="00000000" w:rsidDel="00000000" w:rsidP="00000000" w:rsidRDefault="00000000" w:rsidRPr="00000000" w14:paraId="00000E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666"/>
        <w:tblW w:w="420.37139892578125" w:type="dxa"/>
        <w:jc w:val="left"/>
        <w:tblInd w:w="-4962.883300781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E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31.484375" w:top="446.640625" w:left="5230" w:right="5230" w:header="0" w:footer="720"/>
          <w:cols w:equalWidth="0" w:num="2">
            <w:col w:space="0" w:w="720"/>
            <w:col w:space="0" w:w="72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 Agree </w:t>
      </w:r>
    </w:p>
    <w:p w:rsidR="00000000" w:rsidDel="00000000" w:rsidP="00000000" w:rsidRDefault="00000000" w:rsidRPr="00000000" w14:paraId="00000E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0.44189453125"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E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361328125" w:line="240" w:lineRule="auto"/>
        <w:ind w:left="17.58354187011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Welcome to the Supplier Evidence Submission stage of the Housing </w:t>
      </w:r>
    </w:p>
    <w:p w:rsidR="00000000" w:rsidDel="00000000" w:rsidP="00000000" w:rsidRDefault="00000000" w:rsidRPr="00000000" w14:paraId="00000E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6.4954376220703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Maintenance and Repair DPS questionnaire. </w:t>
      </w:r>
    </w:p>
    <w:p w:rsidR="00000000" w:rsidDel="00000000" w:rsidP="00000000" w:rsidRDefault="00000000" w:rsidRPr="00000000" w14:paraId="00000E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551269531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 Supplier Evidence Submission stage allows you to upload the relevant </w:t>
      </w:r>
    </w:p>
    <w:p w:rsidR="00000000" w:rsidDel="00000000" w:rsidP="00000000" w:rsidRDefault="00000000" w:rsidRPr="00000000" w14:paraId="00000E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8.25614929199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documentation and evidence that you previously indicated you could provide. </w:t>
      </w:r>
    </w:p>
    <w:p w:rsidR="00000000" w:rsidDel="00000000" w:rsidP="00000000" w:rsidRDefault="00000000" w:rsidRPr="00000000" w14:paraId="00000E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26.66358947753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Not all evidence will be applicable to all suppliers. Applicable evidence will be </w:t>
      </w:r>
    </w:p>
    <w:p w:rsidR="00000000" w:rsidDel="00000000" w:rsidP="00000000" w:rsidRDefault="00000000" w:rsidRPr="00000000" w14:paraId="00000E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5.486526489257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requested at Call for Competition stage by the customer prior to award of a </w:t>
      </w:r>
    </w:p>
    <w:p w:rsidR="00000000" w:rsidDel="00000000" w:rsidP="00000000" w:rsidRDefault="00000000" w:rsidRPr="00000000" w14:paraId="00000E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19.096908569335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contract. </w:t>
      </w:r>
    </w:p>
    <w:p w:rsidR="00000000" w:rsidDel="00000000" w:rsidP="00000000" w:rsidRDefault="00000000" w:rsidRPr="00000000" w14:paraId="00000E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8.380126953125" w:line="240" w:lineRule="auto"/>
        <w:ind w:left="29.18579101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be advised that there is currently no evidence submission </w:t>
      </w:r>
    </w:p>
    <w:p w:rsidR="00000000" w:rsidDel="00000000" w:rsidP="00000000" w:rsidRDefault="00000000" w:rsidRPr="00000000" w14:paraId="00000E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5.486526489257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required. </w:t>
      </w:r>
    </w:p>
    <w:p w:rsidR="00000000" w:rsidDel="00000000" w:rsidP="00000000" w:rsidRDefault="00000000" w:rsidRPr="00000000" w14:paraId="00000E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3.673095703125" w:line="240" w:lineRule="auto"/>
        <w:ind w:left="28.008728027343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Housing Maintenance and Repair </w:t>
      </w:r>
    </w:p>
    <w:p w:rsidR="00000000" w:rsidDel="00000000" w:rsidP="00000000" w:rsidRDefault="00000000" w:rsidRPr="00000000" w14:paraId="00000E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728759765625" w:line="240" w:lineRule="auto"/>
        <w:ind w:left="16.742782592773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 copy of your standard payment terms for all of your supply chain </w:t>
      </w:r>
    </w:p>
    <w:p w:rsidR="00000000" w:rsidDel="00000000" w:rsidP="00000000" w:rsidRDefault="00000000" w:rsidRPr="00000000" w14:paraId="00000E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19.096908569335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contracts </w:t>
      </w:r>
    </w:p>
    <w:p w:rsidR="00000000" w:rsidDel="00000000" w:rsidP="00000000" w:rsidRDefault="00000000" w:rsidRPr="00000000" w14:paraId="00000E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440185546875" w:line="240" w:lineRule="auto"/>
        <w:ind w:left="30.0985717773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Evidence (pdf, image, max file size 5MB) </w:t>
      </w:r>
    </w:p>
    <w:p w:rsidR="00000000" w:rsidDel="00000000" w:rsidP="00000000" w:rsidRDefault="00000000" w:rsidRPr="00000000" w14:paraId="00000E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040283203125" w:line="240" w:lineRule="auto"/>
        <w:ind w:left="17.667617797851562"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There is no limit to the number of files you can upload. </w:t>
      </w:r>
    </w:p>
    <w:tbl>
      <w:tblPr>
        <w:tblStyle w:val="Table667"/>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E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2.07138061523438"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Browse previous... </w:t>
      </w:r>
    </w:p>
    <w:p w:rsidR="00000000" w:rsidDel="00000000" w:rsidP="00000000" w:rsidRDefault="00000000" w:rsidRPr="00000000" w14:paraId="00000E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4.7573852539062" w:line="240" w:lineRule="auto"/>
        <w:ind w:left="28.8494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Details of the systems which are in place to ensure that suppliers are </w:t>
      </w:r>
    </w:p>
    <w:p w:rsidR="00000000" w:rsidDel="00000000" w:rsidP="00000000" w:rsidRDefault="00000000" w:rsidRPr="00000000" w14:paraId="00000E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2.9643249511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paid Promptly. </w:t>
      </w:r>
    </w:p>
    <w:p w:rsidR="00000000" w:rsidDel="00000000" w:rsidP="00000000" w:rsidRDefault="00000000" w:rsidRPr="00000000" w14:paraId="00000E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4432373046875" w:line="240" w:lineRule="auto"/>
        <w:ind w:left="30.0985717773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Evidence (pdf, image, max file size 5MB) </w:t>
      </w:r>
    </w:p>
    <w:p w:rsidR="00000000" w:rsidDel="00000000" w:rsidP="00000000" w:rsidRDefault="00000000" w:rsidRPr="00000000" w14:paraId="00000E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59033203125" w:line="240" w:lineRule="auto"/>
        <w:ind w:left="17.667617797851562"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There is no limit to the number of files you can upload. </w:t>
      </w:r>
    </w:p>
    <w:tbl>
      <w:tblPr>
        <w:tblStyle w:val="Table668"/>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E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2.07138061523438"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Browse previous... </w:t>
      </w:r>
    </w:p>
    <w:p w:rsidR="00000000" w:rsidDel="00000000" w:rsidP="00000000" w:rsidRDefault="00000000" w:rsidRPr="00000000" w14:paraId="00000E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6189575195312"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80/82</w:t>
      </w:r>
    </w:p>
    <w:sectPr>
      <w:type w:val="continuous"/>
      <w:pgSz w:h="16840" w:w="11900" w:orient="portrait"/>
      <w:pgMar w:bottom="731.484375" w:top="446.640625" w:left="853.1263732910156" w:right="861.661376953125" w:header="0" w:footer="720"/>
      <w:cols w:equalWidth="0" w:num="1">
        <w:col w:space="0" w:w="10185.21224975586"/>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style>
  <w:style w:type="table" w:styleId="Table58">
    <w:basedOn w:val="TableNormal"/>
    <w:tblPr>
      <w:tblStyleRowBandSize w:val="1"/>
      <w:tblStyleColBandSize w:val="1"/>
      <w:tblCellMar>
        <w:top w:w="100.0" w:type="dxa"/>
        <w:left w:w="100.0" w:type="dxa"/>
        <w:bottom w:w="100.0" w:type="dxa"/>
        <w:right w:w="100.0" w:type="dxa"/>
      </w:tblCellMar>
    </w:tblPr>
  </w:style>
  <w:style w:type="table" w:styleId="Table59">
    <w:basedOn w:val="TableNormal"/>
    <w:tblPr>
      <w:tblStyleRowBandSize w:val="1"/>
      <w:tblStyleColBandSize w:val="1"/>
      <w:tblCellMar>
        <w:top w:w="100.0" w:type="dxa"/>
        <w:left w:w="100.0" w:type="dxa"/>
        <w:bottom w:w="100.0" w:type="dxa"/>
        <w:right w:w="100.0" w:type="dxa"/>
      </w:tblCellMar>
    </w:tblPr>
  </w:style>
  <w:style w:type="table" w:styleId="Table60">
    <w:basedOn w:val="TableNormal"/>
    <w:tblPr>
      <w:tblStyleRowBandSize w:val="1"/>
      <w:tblStyleColBandSize w:val="1"/>
      <w:tblCellMar>
        <w:top w:w="100.0" w:type="dxa"/>
        <w:left w:w="100.0" w:type="dxa"/>
        <w:bottom w:w="100.0" w:type="dxa"/>
        <w:right w:w="100.0" w:type="dxa"/>
      </w:tblCellMar>
    </w:tblPr>
  </w:style>
  <w:style w:type="table" w:styleId="Table61">
    <w:basedOn w:val="TableNormal"/>
    <w:tblPr>
      <w:tblStyleRowBandSize w:val="1"/>
      <w:tblStyleColBandSize w:val="1"/>
      <w:tblCellMar>
        <w:top w:w="100.0" w:type="dxa"/>
        <w:left w:w="100.0" w:type="dxa"/>
        <w:bottom w:w="100.0" w:type="dxa"/>
        <w:right w:w="100.0" w:type="dxa"/>
      </w:tblCellMar>
    </w:tblPr>
  </w:style>
  <w:style w:type="table" w:styleId="Table62">
    <w:basedOn w:val="TableNormal"/>
    <w:tblPr>
      <w:tblStyleRowBandSize w:val="1"/>
      <w:tblStyleColBandSize w:val="1"/>
      <w:tblCellMar>
        <w:top w:w="100.0" w:type="dxa"/>
        <w:left w:w="100.0" w:type="dxa"/>
        <w:bottom w:w="100.0" w:type="dxa"/>
        <w:right w:w="100.0" w:type="dxa"/>
      </w:tblCellMar>
    </w:tblPr>
  </w:style>
  <w:style w:type="table" w:styleId="Table63">
    <w:basedOn w:val="TableNormal"/>
    <w:tblPr>
      <w:tblStyleRowBandSize w:val="1"/>
      <w:tblStyleColBandSize w:val="1"/>
      <w:tblCellMar>
        <w:top w:w="100.0" w:type="dxa"/>
        <w:left w:w="100.0" w:type="dxa"/>
        <w:bottom w:w="100.0" w:type="dxa"/>
        <w:right w:w="100.0" w:type="dxa"/>
      </w:tblCellMar>
    </w:tblPr>
  </w:style>
  <w:style w:type="table" w:styleId="Table64">
    <w:basedOn w:val="TableNormal"/>
    <w:tblPr>
      <w:tblStyleRowBandSize w:val="1"/>
      <w:tblStyleColBandSize w:val="1"/>
      <w:tblCellMar>
        <w:top w:w="100.0" w:type="dxa"/>
        <w:left w:w="100.0" w:type="dxa"/>
        <w:bottom w:w="100.0" w:type="dxa"/>
        <w:right w:w="100.0" w:type="dxa"/>
      </w:tblCellMar>
    </w:tblPr>
  </w:style>
  <w:style w:type="table" w:styleId="Table65">
    <w:basedOn w:val="TableNormal"/>
    <w:tblPr>
      <w:tblStyleRowBandSize w:val="1"/>
      <w:tblStyleColBandSize w:val="1"/>
      <w:tblCellMar>
        <w:top w:w="100.0" w:type="dxa"/>
        <w:left w:w="100.0" w:type="dxa"/>
        <w:bottom w:w="100.0" w:type="dxa"/>
        <w:right w:w="100.0" w:type="dxa"/>
      </w:tblCellMar>
    </w:tblPr>
  </w:style>
  <w:style w:type="table" w:styleId="Table66">
    <w:basedOn w:val="TableNormal"/>
    <w:tblPr>
      <w:tblStyleRowBandSize w:val="1"/>
      <w:tblStyleColBandSize w:val="1"/>
      <w:tblCellMar>
        <w:top w:w="100.0" w:type="dxa"/>
        <w:left w:w="100.0" w:type="dxa"/>
        <w:bottom w:w="100.0" w:type="dxa"/>
        <w:right w:w="100.0" w:type="dxa"/>
      </w:tblCellMar>
    </w:tblPr>
  </w:style>
  <w:style w:type="table" w:styleId="Table67">
    <w:basedOn w:val="TableNormal"/>
    <w:tblPr>
      <w:tblStyleRowBandSize w:val="1"/>
      <w:tblStyleColBandSize w:val="1"/>
      <w:tblCellMar>
        <w:top w:w="100.0" w:type="dxa"/>
        <w:left w:w="100.0" w:type="dxa"/>
        <w:bottom w:w="100.0" w:type="dxa"/>
        <w:right w:w="100.0" w:type="dxa"/>
      </w:tblCellMar>
    </w:tblPr>
  </w:style>
  <w:style w:type="table" w:styleId="Table68">
    <w:basedOn w:val="TableNormal"/>
    <w:tblPr>
      <w:tblStyleRowBandSize w:val="1"/>
      <w:tblStyleColBandSize w:val="1"/>
      <w:tblCellMar>
        <w:top w:w="100.0" w:type="dxa"/>
        <w:left w:w="100.0" w:type="dxa"/>
        <w:bottom w:w="100.0" w:type="dxa"/>
        <w:right w:w="100.0" w:type="dxa"/>
      </w:tblCellMar>
    </w:tblPr>
  </w:style>
  <w:style w:type="table" w:styleId="Table69">
    <w:basedOn w:val="TableNormal"/>
    <w:tblPr>
      <w:tblStyleRowBandSize w:val="1"/>
      <w:tblStyleColBandSize w:val="1"/>
      <w:tblCellMar>
        <w:top w:w="100.0" w:type="dxa"/>
        <w:left w:w="100.0" w:type="dxa"/>
        <w:bottom w:w="100.0" w:type="dxa"/>
        <w:right w:w="100.0" w:type="dxa"/>
      </w:tblCellMar>
    </w:tblPr>
  </w:style>
  <w:style w:type="table" w:styleId="Table70">
    <w:basedOn w:val="TableNormal"/>
    <w:tblPr>
      <w:tblStyleRowBandSize w:val="1"/>
      <w:tblStyleColBandSize w:val="1"/>
      <w:tblCellMar>
        <w:top w:w="100.0" w:type="dxa"/>
        <w:left w:w="100.0" w:type="dxa"/>
        <w:bottom w:w="100.0" w:type="dxa"/>
        <w:right w:w="100.0" w:type="dxa"/>
      </w:tblCellMar>
    </w:tblPr>
  </w:style>
  <w:style w:type="table" w:styleId="Table71">
    <w:basedOn w:val="TableNormal"/>
    <w:tblPr>
      <w:tblStyleRowBandSize w:val="1"/>
      <w:tblStyleColBandSize w:val="1"/>
      <w:tblCellMar>
        <w:top w:w="100.0" w:type="dxa"/>
        <w:left w:w="100.0" w:type="dxa"/>
        <w:bottom w:w="100.0" w:type="dxa"/>
        <w:right w:w="100.0" w:type="dxa"/>
      </w:tblCellMar>
    </w:tblPr>
  </w:style>
  <w:style w:type="table" w:styleId="Table72">
    <w:basedOn w:val="TableNormal"/>
    <w:tblPr>
      <w:tblStyleRowBandSize w:val="1"/>
      <w:tblStyleColBandSize w:val="1"/>
      <w:tblCellMar>
        <w:top w:w="100.0" w:type="dxa"/>
        <w:left w:w="100.0" w:type="dxa"/>
        <w:bottom w:w="100.0" w:type="dxa"/>
        <w:right w:w="100.0" w:type="dxa"/>
      </w:tblCellMar>
    </w:tblPr>
  </w:style>
  <w:style w:type="table" w:styleId="Table73">
    <w:basedOn w:val="TableNormal"/>
    <w:tblPr>
      <w:tblStyleRowBandSize w:val="1"/>
      <w:tblStyleColBandSize w:val="1"/>
      <w:tblCellMar>
        <w:top w:w="100.0" w:type="dxa"/>
        <w:left w:w="100.0" w:type="dxa"/>
        <w:bottom w:w="100.0" w:type="dxa"/>
        <w:right w:w="100.0" w:type="dxa"/>
      </w:tblCellMar>
    </w:tblPr>
  </w:style>
  <w:style w:type="table" w:styleId="Table74">
    <w:basedOn w:val="TableNormal"/>
    <w:tblPr>
      <w:tblStyleRowBandSize w:val="1"/>
      <w:tblStyleColBandSize w:val="1"/>
      <w:tblCellMar>
        <w:top w:w="100.0" w:type="dxa"/>
        <w:left w:w="100.0" w:type="dxa"/>
        <w:bottom w:w="100.0" w:type="dxa"/>
        <w:right w:w="100.0" w:type="dxa"/>
      </w:tblCellMar>
    </w:tblPr>
  </w:style>
  <w:style w:type="table" w:styleId="Table75">
    <w:basedOn w:val="TableNormal"/>
    <w:tblPr>
      <w:tblStyleRowBandSize w:val="1"/>
      <w:tblStyleColBandSize w:val="1"/>
      <w:tblCellMar>
        <w:top w:w="100.0" w:type="dxa"/>
        <w:left w:w="100.0" w:type="dxa"/>
        <w:bottom w:w="100.0" w:type="dxa"/>
        <w:right w:w="100.0" w:type="dxa"/>
      </w:tblCellMar>
    </w:tblPr>
  </w:style>
  <w:style w:type="table" w:styleId="Table76">
    <w:basedOn w:val="TableNormal"/>
    <w:tblPr>
      <w:tblStyleRowBandSize w:val="1"/>
      <w:tblStyleColBandSize w:val="1"/>
      <w:tblCellMar>
        <w:top w:w="100.0" w:type="dxa"/>
        <w:left w:w="100.0" w:type="dxa"/>
        <w:bottom w:w="100.0" w:type="dxa"/>
        <w:right w:w="100.0" w:type="dxa"/>
      </w:tblCellMar>
    </w:tblPr>
  </w:style>
  <w:style w:type="table" w:styleId="Table77">
    <w:basedOn w:val="TableNormal"/>
    <w:tblPr>
      <w:tblStyleRowBandSize w:val="1"/>
      <w:tblStyleColBandSize w:val="1"/>
      <w:tblCellMar>
        <w:top w:w="100.0" w:type="dxa"/>
        <w:left w:w="100.0" w:type="dxa"/>
        <w:bottom w:w="100.0" w:type="dxa"/>
        <w:right w:w="100.0" w:type="dxa"/>
      </w:tblCellMar>
    </w:tblPr>
  </w:style>
  <w:style w:type="table" w:styleId="Table78">
    <w:basedOn w:val="TableNormal"/>
    <w:tblPr>
      <w:tblStyleRowBandSize w:val="1"/>
      <w:tblStyleColBandSize w:val="1"/>
      <w:tblCellMar>
        <w:top w:w="100.0" w:type="dxa"/>
        <w:left w:w="100.0" w:type="dxa"/>
        <w:bottom w:w="100.0" w:type="dxa"/>
        <w:right w:w="100.0" w:type="dxa"/>
      </w:tblCellMar>
    </w:tblPr>
  </w:style>
  <w:style w:type="table" w:styleId="Table79">
    <w:basedOn w:val="TableNormal"/>
    <w:tblPr>
      <w:tblStyleRowBandSize w:val="1"/>
      <w:tblStyleColBandSize w:val="1"/>
      <w:tblCellMar>
        <w:top w:w="100.0" w:type="dxa"/>
        <w:left w:w="100.0" w:type="dxa"/>
        <w:bottom w:w="100.0" w:type="dxa"/>
        <w:right w:w="100.0" w:type="dxa"/>
      </w:tblCellMar>
    </w:tblPr>
  </w:style>
  <w:style w:type="table" w:styleId="Table80">
    <w:basedOn w:val="TableNormal"/>
    <w:tblPr>
      <w:tblStyleRowBandSize w:val="1"/>
      <w:tblStyleColBandSize w:val="1"/>
      <w:tblCellMar>
        <w:top w:w="100.0" w:type="dxa"/>
        <w:left w:w="100.0" w:type="dxa"/>
        <w:bottom w:w="100.0" w:type="dxa"/>
        <w:right w:w="100.0" w:type="dxa"/>
      </w:tblCellMar>
    </w:tblPr>
  </w:style>
  <w:style w:type="table" w:styleId="Table81">
    <w:basedOn w:val="TableNormal"/>
    <w:tblPr>
      <w:tblStyleRowBandSize w:val="1"/>
      <w:tblStyleColBandSize w:val="1"/>
      <w:tblCellMar>
        <w:top w:w="100.0" w:type="dxa"/>
        <w:left w:w="100.0" w:type="dxa"/>
        <w:bottom w:w="100.0" w:type="dxa"/>
        <w:right w:w="100.0" w:type="dxa"/>
      </w:tblCellMar>
    </w:tblPr>
  </w:style>
  <w:style w:type="table" w:styleId="Table82">
    <w:basedOn w:val="TableNormal"/>
    <w:tblPr>
      <w:tblStyleRowBandSize w:val="1"/>
      <w:tblStyleColBandSize w:val="1"/>
      <w:tblCellMar>
        <w:top w:w="100.0" w:type="dxa"/>
        <w:left w:w="100.0" w:type="dxa"/>
        <w:bottom w:w="100.0" w:type="dxa"/>
        <w:right w:w="100.0" w:type="dxa"/>
      </w:tblCellMar>
    </w:tblPr>
  </w:style>
  <w:style w:type="table" w:styleId="Table83">
    <w:basedOn w:val="TableNormal"/>
    <w:tblPr>
      <w:tblStyleRowBandSize w:val="1"/>
      <w:tblStyleColBandSize w:val="1"/>
      <w:tblCellMar>
        <w:top w:w="100.0" w:type="dxa"/>
        <w:left w:w="100.0" w:type="dxa"/>
        <w:bottom w:w="100.0" w:type="dxa"/>
        <w:right w:w="100.0" w:type="dxa"/>
      </w:tblCellMar>
    </w:tblPr>
  </w:style>
  <w:style w:type="table" w:styleId="Table84">
    <w:basedOn w:val="TableNormal"/>
    <w:tblPr>
      <w:tblStyleRowBandSize w:val="1"/>
      <w:tblStyleColBandSize w:val="1"/>
      <w:tblCellMar>
        <w:top w:w="100.0" w:type="dxa"/>
        <w:left w:w="100.0" w:type="dxa"/>
        <w:bottom w:w="100.0" w:type="dxa"/>
        <w:right w:w="100.0" w:type="dxa"/>
      </w:tblCellMar>
    </w:tblPr>
  </w:style>
  <w:style w:type="table" w:styleId="Table85">
    <w:basedOn w:val="TableNormal"/>
    <w:tblPr>
      <w:tblStyleRowBandSize w:val="1"/>
      <w:tblStyleColBandSize w:val="1"/>
      <w:tblCellMar>
        <w:top w:w="100.0" w:type="dxa"/>
        <w:left w:w="100.0" w:type="dxa"/>
        <w:bottom w:w="100.0" w:type="dxa"/>
        <w:right w:w="100.0" w:type="dxa"/>
      </w:tblCellMar>
    </w:tblPr>
  </w:style>
  <w:style w:type="table" w:styleId="Table86">
    <w:basedOn w:val="TableNormal"/>
    <w:tblPr>
      <w:tblStyleRowBandSize w:val="1"/>
      <w:tblStyleColBandSize w:val="1"/>
      <w:tblCellMar>
        <w:top w:w="100.0" w:type="dxa"/>
        <w:left w:w="100.0" w:type="dxa"/>
        <w:bottom w:w="100.0" w:type="dxa"/>
        <w:right w:w="100.0" w:type="dxa"/>
      </w:tblCellMar>
    </w:tblPr>
  </w:style>
  <w:style w:type="table" w:styleId="Table87">
    <w:basedOn w:val="TableNormal"/>
    <w:tblPr>
      <w:tblStyleRowBandSize w:val="1"/>
      <w:tblStyleColBandSize w:val="1"/>
      <w:tblCellMar>
        <w:top w:w="100.0" w:type="dxa"/>
        <w:left w:w="100.0" w:type="dxa"/>
        <w:bottom w:w="100.0" w:type="dxa"/>
        <w:right w:w="100.0" w:type="dxa"/>
      </w:tblCellMar>
    </w:tblPr>
  </w:style>
  <w:style w:type="table" w:styleId="Table88">
    <w:basedOn w:val="TableNormal"/>
    <w:tblPr>
      <w:tblStyleRowBandSize w:val="1"/>
      <w:tblStyleColBandSize w:val="1"/>
      <w:tblCellMar>
        <w:top w:w="100.0" w:type="dxa"/>
        <w:left w:w="100.0" w:type="dxa"/>
        <w:bottom w:w="100.0" w:type="dxa"/>
        <w:right w:w="100.0" w:type="dxa"/>
      </w:tblCellMar>
    </w:tblPr>
  </w:style>
  <w:style w:type="table" w:styleId="Table89">
    <w:basedOn w:val="TableNormal"/>
    <w:tblPr>
      <w:tblStyleRowBandSize w:val="1"/>
      <w:tblStyleColBandSize w:val="1"/>
      <w:tblCellMar>
        <w:top w:w="100.0" w:type="dxa"/>
        <w:left w:w="100.0" w:type="dxa"/>
        <w:bottom w:w="100.0" w:type="dxa"/>
        <w:right w:w="100.0" w:type="dxa"/>
      </w:tblCellMar>
    </w:tblPr>
  </w:style>
  <w:style w:type="table" w:styleId="Table90">
    <w:basedOn w:val="TableNormal"/>
    <w:tblPr>
      <w:tblStyleRowBandSize w:val="1"/>
      <w:tblStyleColBandSize w:val="1"/>
      <w:tblCellMar>
        <w:top w:w="100.0" w:type="dxa"/>
        <w:left w:w="100.0" w:type="dxa"/>
        <w:bottom w:w="100.0" w:type="dxa"/>
        <w:right w:w="100.0" w:type="dxa"/>
      </w:tblCellMar>
    </w:tblPr>
  </w:style>
  <w:style w:type="table" w:styleId="Table91">
    <w:basedOn w:val="TableNormal"/>
    <w:tblPr>
      <w:tblStyleRowBandSize w:val="1"/>
      <w:tblStyleColBandSize w:val="1"/>
      <w:tblCellMar>
        <w:top w:w="100.0" w:type="dxa"/>
        <w:left w:w="100.0" w:type="dxa"/>
        <w:bottom w:w="100.0" w:type="dxa"/>
        <w:right w:w="100.0" w:type="dxa"/>
      </w:tblCellMar>
    </w:tblPr>
  </w:style>
  <w:style w:type="table" w:styleId="Table92">
    <w:basedOn w:val="TableNormal"/>
    <w:tblPr>
      <w:tblStyleRowBandSize w:val="1"/>
      <w:tblStyleColBandSize w:val="1"/>
      <w:tblCellMar>
        <w:top w:w="100.0" w:type="dxa"/>
        <w:left w:w="100.0" w:type="dxa"/>
        <w:bottom w:w="100.0" w:type="dxa"/>
        <w:right w:w="100.0" w:type="dxa"/>
      </w:tblCellMar>
    </w:tblPr>
  </w:style>
  <w:style w:type="table" w:styleId="Table93">
    <w:basedOn w:val="TableNormal"/>
    <w:tblPr>
      <w:tblStyleRowBandSize w:val="1"/>
      <w:tblStyleColBandSize w:val="1"/>
      <w:tblCellMar>
        <w:top w:w="100.0" w:type="dxa"/>
        <w:left w:w="100.0" w:type="dxa"/>
        <w:bottom w:w="100.0" w:type="dxa"/>
        <w:right w:w="100.0" w:type="dxa"/>
      </w:tblCellMar>
    </w:tblPr>
  </w:style>
  <w:style w:type="table" w:styleId="Table94">
    <w:basedOn w:val="TableNormal"/>
    <w:tblPr>
      <w:tblStyleRowBandSize w:val="1"/>
      <w:tblStyleColBandSize w:val="1"/>
      <w:tblCellMar>
        <w:top w:w="100.0" w:type="dxa"/>
        <w:left w:w="100.0" w:type="dxa"/>
        <w:bottom w:w="100.0" w:type="dxa"/>
        <w:right w:w="100.0" w:type="dxa"/>
      </w:tblCellMar>
    </w:tblPr>
  </w:style>
  <w:style w:type="table" w:styleId="Table95">
    <w:basedOn w:val="TableNormal"/>
    <w:tblPr>
      <w:tblStyleRowBandSize w:val="1"/>
      <w:tblStyleColBandSize w:val="1"/>
      <w:tblCellMar>
        <w:top w:w="100.0" w:type="dxa"/>
        <w:left w:w="100.0" w:type="dxa"/>
        <w:bottom w:w="100.0" w:type="dxa"/>
        <w:right w:w="100.0" w:type="dxa"/>
      </w:tblCellMar>
    </w:tblPr>
  </w:style>
  <w:style w:type="table" w:styleId="Table96">
    <w:basedOn w:val="TableNormal"/>
    <w:tblPr>
      <w:tblStyleRowBandSize w:val="1"/>
      <w:tblStyleColBandSize w:val="1"/>
      <w:tblCellMar>
        <w:top w:w="100.0" w:type="dxa"/>
        <w:left w:w="100.0" w:type="dxa"/>
        <w:bottom w:w="100.0" w:type="dxa"/>
        <w:right w:w="100.0" w:type="dxa"/>
      </w:tblCellMar>
    </w:tblPr>
  </w:style>
  <w:style w:type="table" w:styleId="Table97">
    <w:basedOn w:val="TableNormal"/>
    <w:tblPr>
      <w:tblStyleRowBandSize w:val="1"/>
      <w:tblStyleColBandSize w:val="1"/>
      <w:tblCellMar>
        <w:top w:w="100.0" w:type="dxa"/>
        <w:left w:w="100.0" w:type="dxa"/>
        <w:bottom w:w="100.0" w:type="dxa"/>
        <w:right w:w="100.0" w:type="dxa"/>
      </w:tblCellMar>
    </w:tblPr>
  </w:style>
  <w:style w:type="table" w:styleId="Table98">
    <w:basedOn w:val="TableNormal"/>
    <w:tblPr>
      <w:tblStyleRowBandSize w:val="1"/>
      <w:tblStyleColBandSize w:val="1"/>
      <w:tblCellMar>
        <w:top w:w="100.0" w:type="dxa"/>
        <w:left w:w="100.0" w:type="dxa"/>
        <w:bottom w:w="100.0" w:type="dxa"/>
        <w:right w:w="100.0" w:type="dxa"/>
      </w:tblCellMar>
    </w:tblPr>
  </w:style>
  <w:style w:type="table" w:styleId="Table99">
    <w:basedOn w:val="TableNormal"/>
    <w:tblPr>
      <w:tblStyleRowBandSize w:val="1"/>
      <w:tblStyleColBandSize w:val="1"/>
      <w:tblCellMar>
        <w:top w:w="100.0" w:type="dxa"/>
        <w:left w:w="100.0" w:type="dxa"/>
        <w:bottom w:w="100.0" w:type="dxa"/>
        <w:right w:w="100.0" w:type="dxa"/>
      </w:tblCellMar>
    </w:tblPr>
  </w:style>
  <w:style w:type="table" w:styleId="Table100">
    <w:basedOn w:val="TableNormal"/>
    <w:tblPr>
      <w:tblStyleRowBandSize w:val="1"/>
      <w:tblStyleColBandSize w:val="1"/>
      <w:tblCellMar>
        <w:top w:w="100.0" w:type="dxa"/>
        <w:left w:w="100.0" w:type="dxa"/>
        <w:bottom w:w="100.0" w:type="dxa"/>
        <w:right w:w="100.0" w:type="dxa"/>
      </w:tblCellMar>
    </w:tblPr>
  </w:style>
  <w:style w:type="table" w:styleId="Table101">
    <w:basedOn w:val="TableNormal"/>
    <w:tblPr>
      <w:tblStyleRowBandSize w:val="1"/>
      <w:tblStyleColBandSize w:val="1"/>
      <w:tblCellMar>
        <w:top w:w="100.0" w:type="dxa"/>
        <w:left w:w="100.0" w:type="dxa"/>
        <w:bottom w:w="100.0" w:type="dxa"/>
        <w:right w:w="100.0" w:type="dxa"/>
      </w:tblCellMar>
    </w:tblPr>
  </w:style>
  <w:style w:type="table" w:styleId="Table102">
    <w:basedOn w:val="TableNormal"/>
    <w:tblPr>
      <w:tblStyleRowBandSize w:val="1"/>
      <w:tblStyleColBandSize w:val="1"/>
      <w:tblCellMar>
        <w:top w:w="100.0" w:type="dxa"/>
        <w:left w:w="100.0" w:type="dxa"/>
        <w:bottom w:w="100.0" w:type="dxa"/>
        <w:right w:w="100.0" w:type="dxa"/>
      </w:tblCellMar>
    </w:tblPr>
  </w:style>
  <w:style w:type="table" w:styleId="Table103">
    <w:basedOn w:val="TableNormal"/>
    <w:tblPr>
      <w:tblStyleRowBandSize w:val="1"/>
      <w:tblStyleColBandSize w:val="1"/>
      <w:tblCellMar>
        <w:top w:w="100.0" w:type="dxa"/>
        <w:left w:w="100.0" w:type="dxa"/>
        <w:bottom w:w="100.0" w:type="dxa"/>
        <w:right w:w="100.0" w:type="dxa"/>
      </w:tblCellMar>
    </w:tblPr>
  </w:style>
  <w:style w:type="table" w:styleId="Table104">
    <w:basedOn w:val="TableNormal"/>
    <w:tblPr>
      <w:tblStyleRowBandSize w:val="1"/>
      <w:tblStyleColBandSize w:val="1"/>
      <w:tblCellMar>
        <w:top w:w="100.0" w:type="dxa"/>
        <w:left w:w="100.0" w:type="dxa"/>
        <w:bottom w:w="100.0" w:type="dxa"/>
        <w:right w:w="100.0" w:type="dxa"/>
      </w:tblCellMar>
    </w:tblPr>
  </w:style>
  <w:style w:type="table" w:styleId="Table105">
    <w:basedOn w:val="TableNormal"/>
    <w:tblPr>
      <w:tblStyleRowBandSize w:val="1"/>
      <w:tblStyleColBandSize w:val="1"/>
      <w:tblCellMar>
        <w:top w:w="100.0" w:type="dxa"/>
        <w:left w:w="100.0" w:type="dxa"/>
        <w:bottom w:w="100.0" w:type="dxa"/>
        <w:right w:w="100.0" w:type="dxa"/>
      </w:tblCellMar>
    </w:tblPr>
  </w:style>
  <w:style w:type="table" w:styleId="Table106">
    <w:basedOn w:val="TableNormal"/>
    <w:tblPr>
      <w:tblStyleRowBandSize w:val="1"/>
      <w:tblStyleColBandSize w:val="1"/>
      <w:tblCellMar>
        <w:top w:w="100.0" w:type="dxa"/>
        <w:left w:w="100.0" w:type="dxa"/>
        <w:bottom w:w="100.0" w:type="dxa"/>
        <w:right w:w="100.0" w:type="dxa"/>
      </w:tblCellMar>
    </w:tblPr>
  </w:style>
  <w:style w:type="table" w:styleId="Table107">
    <w:basedOn w:val="TableNormal"/>
    <w:tblPr>
      <w:tblStyleRowBandSize w:val="1"/>
      <w:tblStyleColBandSize w:val="1"/>
      <w:tblCellMar>
        <w:top w:w="100.0" w:type="dxa"/>
        <w:left w:w="100.0" w:type="dxa"/>
        <w:bottom w:w="100.0" w:type="dxa"/>
        <w:right w:w="100.0" w:type="dxa"/>
      </w:tblCellMar>
    </w:tblPr>
  </w:style>
  <w:style w:type="table" w:styleId="Table108">
    <w:basedOn w:val="TableNormal"/>
    <w:tblPr>
      <w:tblStyleRowBandSize w:val="1"/>
      <w:tblStyleColBandSize w:val="1"/>
      <w:tblCellMar>
        <w:top w:w="100.0" w:type="dxa"/>
        <w:left w:w="100.0" w:type="dxa"/>
        <w:bottom w:w="100.0" w:type="dxa"/>
        <w:right w:w="100.0" w:type="dxa"/>
      </w:tblCellMar>
    </w:tblPr>
  </w:style>
  <w:style w:type="table" w:styleId="Table109">
    <w:basedOn w:val="TableNormal"/>
    <w:tblPr>
      <w:tblStyleRowBandSize w:val="1"/>
      <w:tblStyleColBandSize w:val="1"/>
      <w:tblCellMar>
        <w:top w:w="100.0" w:type="dxa"/>
        <w:left w:w="100.0" w:type="dxa"/>
        <w:bottom w:w="100.0" w:type="dxa"/>
        <w:right w:w="100.0" w:type="dxa"/>
      </w:tblCellMar>
    </w:tblPr>
  </w:style>
  <w:style w:type="table" w:styleId="Table110">
    <w:basedOn w:val="TableNormal"/>
    <w:tblPr>
      <w:tblStyleRowBandSize w:val="1"/>
      <w:tblStyleColBandSize w:val="1"/>
      <w:tblCellMar>
        <w:top w:w="100.0" w:type="dxa"/>
        <w:left w:w="100.0" w:type="dxa"/>
        <w:bottom w:w="100.0" w:type="dxa"/>
        <w:right w:w="100.0" w:type="dxa"/>
      </w:tblCellMar>
    </w:tblPr>
  </w:style>
  <w:style w:type="table" w:styleId="Table111">
    <w:basedOn w:val="TableNormal"/>
    <w:tblPr>
      <w:tblStyleRowBandSize w:val="1"/>
      <w:tblStyleColBandSize w:val="1"/>
      <w:tblCellMar>
        <w:top w:w="100.0" w:type="dxa"/>
        <w:left w:w="100.0" w:type="dxa"/>
        <w:bottom w:w="100.0" w:type="dxa"/>
        <w:right w:w="100.0" w:type="dxa"/>
      </w:tblCellMar>
    </w:tblPr>
  </w:style>
  <w:style w:type="table" w:styleId="Table112">
    <w:basedOn w:val="TableNormal"/>
    <w:tblPr>
      <w:tblStyleRowBandSize w:val="1"/>
      <w:tblStyleColBandSize w:val="1"/>
      <w:tblCellMar>
        <w:top w:w="100.0" w:type="dxa"/>
        <w:left w:w="100.0" w:type="dxa"/>
        <w:bottom w:w="100.0" w:type="dxa"/>
        <w:right w:w="100.0" w:type="dxa"/>
      </w:tblCellMar>
    </w:tblPr>
  </w:style>
  <w:style w:type="table" w:styleId="Table113">
    <w:basedOn w:val="TableNormal"/>
    <w:tblPr>
      <w:tblStyleRowBandSize w:val="1"/>
      <w:tblStyleColBandSize w:val="1"/>
      <w:tblCellMar>
        <w:top w:w="100.0" w:type="dxa"/>
        <w:left w:w="100.0" w:type="dxa"/>
        <w:bottom w:w="100.0" w:type="dxa"/>
        <w:right w:w="100.0" w:type="dxa"/>
      </w:tblCellMar>
    </w:tblPr>
  </w:style>
  <w:style w:type="table" w:styleId="Table114">
    <w:basedOn w:val="TableNormal"/>
    <w:tblPr>
      <w:tblStyleRowBandSize w:val="1"/>
      <w:tblStyleColBandSize w:val="1"/>
      <w:tblCellMar>
        <w:top w:w="100.0" w:type="dxa"/>
        <w:left w:w="100.0" w:type="dxa"/>
        <w:bottom w:w="100.0" w:type="dxa"/>
        <w:right w:w="100.0" w:type="dxa"/>
      </w:tblCellMar>
    </w:tblPr>
  </w:style>
  <w:style w:type="table" w:styleId="Table115">
    <w:basedOn w:val="TableNormal"/>
    <w:tblPr>
      <w:tblStyleRowBandSize w:val="1"/>
      <w:tblStyleColBandSize w:val="1"/>
      <w:tblCellMar>
        <w:top w:w="100.0" w:type="dxa"/>
        <w:left w:w="100.0" w:type="dxa"/>
        <w:bottom w:w="100.0" w:type="dxa"/>
        <w:right w:w="100.0" w:type="dxa"/>
      </w:tblCellMar>
    </w:tblPr>
  </w:style>
  <w:style w:type="table" w:styleId="Table116">
    <w:basedOn w:val="TableNormal"/>
    <w:tblPr>
      <w:tblStyleRowBandSize w:val="1"/>
      <w:tblStyleColBandSize w:val="1"/>
      <w:tblCellMar>
        <w:top w:w="100.0" w:type="dxa"/>
        <w:left w:w="100.0" w:type="dxa"/>
        <w:bottom w:w="100.0" w:type="dxa"/>
        <w:right w:w="100.0" w:type="dxa"/>
      </w:tblCellMar>
    </w:tblPr>
  </w:style>
  <w:style w:type="table" w:styleId="Table117">
    <w:basedOn w:val="TableNormal"/>
    <w:tblPr>
      <w:tblStyleRowBandSize w:val="1"/>
      <w:tblStyleColBandSize w:val="1"/>
      <w:tblCellMar>
        <w:top w:w="100.0" w:type="dxa"/>
        <w:left w:w="100.0" w:type="dxa"/>
        <w:bottom w:w="100.0" w:type="dxa"/>
        <w:right w:w="100.0" w:type="dxa"/>
      </w:tblCellMar>
    </w:tblPr>
  </w:style>
  <w:style w:type="table" w:styleId="Table118">
    <w:basedOn w:val="TableNormal"/>
    <w:tblPr>
      <w:tblStyleRowBandSize w:val="1"/>
      <w:tblStyleColBandSize w:val="1"/>
      <w:tblCellMar>
        <w:top w:w="100.0" w:type="dxa"/>
        <w:left w:w="100.0" w:type="dxa"/>
        <w:bottom w:w="100.0" w:type="dxa"/>
        <w:right w:w="100.0" w:type="dxa"/>
      </w:tblCellMar>
    </w:tblPr>
  </w:style>
  <w:style w:type="table" w:styleId="Table119">
    <w:basedOn w:val="TableNormal"/>
    <w:tblPr>
      <w:tblStyleRowBandSize w:val="1"/>
      <w:tblStyleColBandSize w:val="1"/>
      <w:tblCellMar>
        <w:top w:w="100.0" w:type="dxa"/>
        <w:left w:w="100.0" w:type="dxa"/>
        <w:bottom w:w="100.0" w:type="dxa"/>
        <w:right w:w="100.0" w:type="dxa"/>
      </w:tblCellMar>
    </w:tblPr>
  </w:style>
  <w:style w:type="table" w:styleId="Table120">
    <w:basedOn w:val="TableNormal"/>
    <w:tblPr>
      <w:tblStyleRowBandSize w:val="1"/>
      <w:tblStyleColBandSize w:val="1"/>
      <w:tblCellMar>
        <w:top w:w="100.0" w:type="dxa"/>
        <w:left w:w="100.0" w:type="dxa"/>
        <w:bottom w:w="100.0" w:type="dxa"/>
        <w:right w:w="100.0" w:type="dxa"/>
      </w:tblCellMar>
    </w:tblPr>
  </w:style>
  <w:style w:type="table" w:styleId="Table121">
    <w:basedOn w:val="TableNormal"/>
    <w:tblPr>
      <w:tblStyleRowBandSize w:val="1"/>
      <w:tblStyleColBandSize w:val="1"/>
      <w:tblCellMar>
        <w:top w:w="100.0" w:type="dxa"/>
        <w:left w:w="100.0" w:type="dxa"/>
        <w:bottom w:w="100.0" w:type="dxa"/>
        <w:right w:w="100.0" w:type="dxa"/>
      </w:tblCellMar>
    </w:tblPr>
  </w:style>
  <w:style w:type="table" w:styleId="Table122">
    <w:basedOn w:val="TableNormal"/>
    <w:tblPr>
      <w:tblStyleRowBandSize w:val="1"/>
      <w:tblStyleColBandSize w:val="1"/>
      <w:tblCellMar>
        <w:top w:w="100.0" w:type="dxa"/>
        <w:left w:w="100.0" w:type="dxa"/>
        <w:bottom w:w="100.0" w:type="dxa"/>
        <w:right w:w="100.0" w:type="dxa"/>
      </w:tblCellMar>
    </w:tblPr>
  </w:style>
  <w:style w:type="table" w:styleId="Table123">
    <w:basedOn w:val="TableNormal"/>
    <w:tblPr>
      <w:tblStyleRowBandSize w:val="1"/>
      <w:tblStyleColBandSize w:val="1"/>
      <w:tblCellMar>
        <w:top w:w="100.0" w:type="dxa"/>
        <w:left w:w="100.0" w:type="dxa"/>
        <w:bottom w:w="100.0" w:type="dxa"/>
        <w:right w:w="100.0" w:type="dxa"/>
      </w:tblCellMar>
    </w:tblPr>
  </w:style>
  <w:style w:type="table" w:styleId="Table124">
    <w:basedOn w:val="TableNormal"/>
    <w:tblPr>
      <w:tblStyleRowBandSize w:val="1"/>
      <w:tblStyleColBandSize w:val="1"/>
      <w:tblCellMar>
        <w:top w:w="100.0" w:type="dxa"/>
        <w:left w:w="100.0" w:type="dxa"/>
        <w:bottom w:w="100.0" w:type="dxa"/>
        <w:right w:w="100.0" w:type="dxa"/>
      </w:tblCellMar>
    </w:tblPr>
  </w:style>
  <w:style w:type="table" w:styleId="Table125">
    <w:basedOn w:val="TableNormal"/>
    <w:tblPr>
      <w:tblStyleRowBandSize w:val="1"/>
      <w:tblStyleColBandSize w:val="1"/>
      <w:tblCellMar>
        <w:top w:w="100.0" w:type="dxa"/>
        <w:left w:w="100.0" w:type="dxa"/>
        <w:bottom w:w="100.0" w:type="dxa"/>
        <w:right w:w="100.0" w:type="dxa"/>
      </w:tblCellMar>
    </w:tblPr>
  </w:style>
  <w:style w:type="table" w:styleId="Table126">
    <w:basedOn w:val="TableNormal"/>
    <w:tblPr>
      <w:tblStyleRowBandSize w:val="1"/>
      <w:tblStyleColBandSize w:val="1"/>
      <w:tblCellMar>
        <w:top w:w="100.0" w:type="dxa"/>
        <w:left w:w="100.0" w:type="dxa"/>
        <w:bottom w:w="100.0" w:type="dxa"/>
        <w:right w:w="100.0" w:type="dxa"/>
      </w:tblCellMar>
    </w:tblPr>
  </w:style>
  <w:style w:type="table" w:styleId="Table127">
    <w:basedOn w:val="TableNormal"/>
    <w:tblPr>
      <w:tblStyleRowBandSize w:val="1"/>
      <w:tblStyleColBandSize w:val="1"/>
      <w:tblCellMar>
        <w:top w:w="100.0" w:type="dxa"/>
        <w:left w:w="100.0" w:type="dxa"/>
        <w:bottom w:w="100.0" w:type="dxa"/>
        <w:right w:w="100.0" w:type="dxa"/>
      </w:tblCellMar>
    </w:tblPr>
  </w:style>
  <w:style w:type="table" w:styleId="Table128">
    <w:basedOn w:val="TableNormal"/>
    <w:tblPr>
      <w:tblStyleRowBandSize w:val="1"/>
      <w:tblStyleColBandSize w:val="1"/>
      <w:tblCellMar>
        <w:top w:w="100.0" w:type="dxa"/>
        <w:left w:w="100.0" w:type="dxa"/>
        <w:bottom w:w="100.0" w:type="dxa"/>
        <w:right w:w="100.0" w:type="dxa"/>
      </w:tblCellMar>
    </w:tblPr>
  </w:style>
  <w:style w:type="table" w:styleId="Table129">
    <w:basedOn w:val="TableNormal"/>
    <w:tblPr>
      <w:tblStyleRowBandSize w:val="1"/>
      <w:tblStyleColBandSize w:val="1"/>
      <w:tblCellMar>
        <w:top w:w="100.0" w:type="dxa"/>
        <w:left w:w="100.0" w:type="dxa"/>
        <w:bottom w:w="100.0" w:type="dxa"/>
        <w:right w:w="100.0" w:type="dxa"/>
      </w:tblCellMar>
    </w:tblPr>
  </w:style>
  <w:style w:type="table" w:styleId="Table130">
    <w:basedOn w:val="TableNormal"/>
    <w:tblPr>
      <w:tblStyleRowBandSize w:val="1"/>
      <w:tblStyleColBandSize w:val="1"/>
      <w:tblCellMar>
        <w:top w:w="100.0" w:type="dxa"/>
        <w:left w:w="100.0" w:type="dxa"/>
        <w:bottom w:w="100.0" w:type="dxa"/>
        <w:right w:w="100.0" w:type="dxa"/>
      </w:tblCellMar>
    </w:tblPr>
  </w:style>
  <w:style w:type="table" w:styleId="Table131">
    <w:basedOn w:val="TableNormal"/>
    <w:tblPr>
      <w:tblStyleRowBandSize w:val="1"/>
      <w:tblStyleColBandSize w:val="1"/>
      <w:tblCellMar>
        <w:top w:w="100.0" w:type="dxa"/>
        <w:left w:w="100.0" w:type="dxa"/>
        <w:bottom w:w="100.0" w:type="dxa"/>
        <w:right w:w="100.0" w:type="dxa"/>
      </w:tblCellMar>
    </w:tblPr>
  </w:style>
  <w:style w:type="table" w:styleId="Table132">
    <w:basedOn w:val="TableNormal"/>
    <w:tblPr>
      <w:tblStyleRowBandSize w:val="1"/>
      <w:tblStyleColBandSize w:val="1"/>
      <w:tblCellMar>
        <w:top w:w="100.0" w:type="dxa"/>
        <w:left w:w="100.0" w:type="dxa"/>
        <w:bottom w:w="100.0" w:type="dxa"/>
        <w:right w:w="100.0" w:type="dxa"/>
      </w:tblCellMar>
    </w:tblPr>
  </w:style>
  <w:style w:type="table" w:styleId="Table133">
    <w:basedOn w:val="TableNormal"/>
    <w:tblPr>
      <w:tblStyleRowBandSize w:val="1"/>
      <w:tblStyleColBandSize w:val="1"/>
      <w:tblCellMar>
        <w:top w:w="100.0" w:type="dxa"/>
        <w:left w:w="100.0" w:type="dxa"/>
        <w:bottom w:w="100.0" w:type="dxa"/>
        <w:right w:w="100.0" w:type="dxa"/>
      </w:tblCellMar>
    </w:tblPr>
  </w:style>
  <w:style w:type="table" w:styleId="Table134">
    <w:basedOn w:val="TableNormal"/>
    <w:tblPr>
      <w:tblStyleRowBandSize w:val="1"/>
      <w:tblStyleColBandSize w:val="1"/>
      <w:tblCellMar>
        <w:top w:w="100.0" w:type="dxa"/>
        <w:left w:w="100.0" w:type="dxa"/>
        <w:bottom w:w="100.0" w:type="dxa"/>
        <w:right w:w="100.0" w:type="dxa"/>
      </w:tblCellMar>
    </w:tblPr>
  </w:style>
  <w:style w:type="table" w:styleId="Table135">
    <w:basedOn w:val="TableNormal"/>
    <w:tblPr>
      <w:tblStyleRowBandSize w:val="1"/>
      <w:tblStyleColBandSize w:val="1"/>
      <w:tblCellMar>
        <w:top w:w="100.0" w:type="dxa"/>
        <w:left w:w="100.0" w:type="dxa"/>
        <w:bottom w:w="100.0" w:type="dxa"/>
        <w:right w:w="100.0" w:type="dxa"/>
      </w:tblCellMar>
    </w:tblPr>
  </w:style>
  <w:style w:type="table" w:styleId="Table136">
    <w:basedOn w:val="TableNormal"/>
    <w:tblPr>
      <w:tblStyleRowBandSize w:val="1"/>
      <w:tblStyleColBandSize w:val="1"/>
      <w:tblCellMar>
        <w:top w:w="100.0" w:type="dxa"/>
        <w:left w:w="100.0" w:type="dxa"/>
        <w:bottom w:w="100.0" w:type="dxa"/>
        <w:right w:w="100.0" w:type="dxa"/>
      </w:tblCellMar>
    </w:tblPr>
  </w:style>
  <w:style w:type="table" w:styleId="Table137">
    <w:basedOn w:val="TableNormal"/>
    <w:tblPr>
      <w:tblStyleRowBandSize w:val="1"/>
      <w:tblStyleColBandSize w:val="1"/>
      <w:tblCellMar>
        <w:top w:w="100.0" w:type="dxa"/>
        <w:left w:w="100.0" w:type="dxa"/>
        <w:bottom w:w="100.0" w:type="dxa"/>
        <w:right w:w="100.0" w:type="dxa"/>
      </w:tblCellMar>
    </w:tblPr>
  </w:style>
  <w:style w:type="table" w:styleId="Table138">
    <w:basedOn w:val="TableNormal"/>
    <w:tblPr>
      <w:tblStyleRowBandSize w:val="1"/>
      <w:tblStyleColBandSize w:val="1"/>
      <w:tblCellMar>
        <w:top w:w="100.0" w:type="dxa"/>
        <w:left w:w="100.0" w:type="dxa"/>
        <w:bottom w:w="100.0" w:type="dxa"/>
        <w:right w:w="100.0" w:type="dxa"/>
      </w:tblCellMar>
    </w:tblPr>
  </w:style>
  <w:style w:type="table" w:styleId="Table139">
    <w:basedOn w:val="TableNormal"/>
    <w:tblPr>
      <w:tblStyleRowBandSize w:val="1"/>
      <w:tblStyleColBandSize w:val="1"/>
      <w:tblCellMar>
        <w:top w:w="100.0" w:type="dxa"/>
        <w:left w:w="100.0" w:type="dxa"/>
        <w:bottom w:w="100.0" w:type="dxa"/>
        <w:right w:w="100.0" w:type="dxa"/>
      </w:tblCellMar>
    </w:tblPr>
  </w:style>
  <w:style w:type="table" w:styleId="Table140">
    <w:basedOn w:val="TableNormal"/>
    <w:tblPr>
      <w:tblStyleRowBandSize w:val="1"/>
      <w:tblStyleColBandSize w:val="1"/>
      <w:tblCellMar>
        <w:top w:w="100.0" w:type="dxa"/>
        <w:left w:w="100.0" w:type="dxa"/>
        <w:bottom w:w="100.0" w:type="dxa"/>
        <w:right w:w="100.0" w:type="dxa"/>
      </w:tblCellMar>
    </w:tblPr>
  </w:style>
  <w:style w:type="table" w:styleId="Table141">
    <w:basedOn w:val="TableNormal"/>
    <w:tblPr>
      <w:tblStyleRowBandSize w:val="1"/>
      <w:tblStyleColBandSize w:val="1"/>
      <w:tblCellMar>
        <w:top w:w="100.0" w:type="dxa"/>
        <w:left w:w="100.0" w:type="dxa"/>
        <w:bottom w:w="100.0" w:type="dxa"/>
        <w:right w:w="100.0" w:type="dxa"/>
      </w:tblCellMar>
    </w:tblPr>
  </w:style>
  <w:style w:type="table" w:styleId="Table142">
    <w:basedOn w:val="TableNormal"/>
    <w:tblPr>
      <w:tblStyleRowBandSize w:val="1"/>
      <w:tblStyleColBandSize w:val="1"/>
      <w:tblCellMar>
        <w:top w:w="100.0" w:type="dxa"/>
        <w:left w:w="100.0" w:type="dxa"/>
        <w:bottom w:w="100.0" w:type="dxa"/>
        <w:right w:w="100.0" w:type="dxa"/>
      </w:tblCellMar>
    </w:tblPr>
  </w:style>
  <w:style w:type="table" w:styleId="Table143">
    <w:basedOn w:val="TableNormal"/>
    <w:tblPr>
      <w:tblStyleRowBandSize w:val="1"/>
      <w:tblStyleColBandSize w:val="1"/>
      <w:tblCellMar>
        <w:top w:w="100.0" w:type="dxa"/>
        <w:left w:w="100.0" w:type="dxa"/>
        <w:bottom w:w="100.0" w:type="dxa"/>
        <w:right w:w="100.0" w:type="dxa"/>
      </w:tblCellMar>
    </w:tblPr>
  </w:style>
  <w:style w:type="table" w:styleId="Table144">
    <w:basedOn w:val="TableNormal"/>
    <w:tblPr>
      <w:tblStyleRowBandSize w:val="1"/>
      <w:tblStyleColBandSize w:val="1"/>
      <w:tblCellMar>
        <w:top w:w="100.0" w:type="dxa"/>
        <w:left w:w="100.0" w:type="dxa"/>
        <w:bottom w:w="100.0" w:type="dxa"/>
        <w:right w:w="100.0" w:type="dxa"/>
      </w:tblCellMar>
    </w:tblPr>
  </w:style>
  <w:style w:type="table" w:styleId="Table145">
    <w:basedOn w:val="TableNormal"/>
    <w:tblPr>
      <w:tblStyleRowBandSize w:val="1"/>
      <w:tblStyleColBandSize w:val="1"/>
      <w:tblCellMar>
        <w:top w:w="100.0" w:type="dxa"/>
        <w:left w:w="100.0" w:type="dxa"/>
        <w:bottom w:w="100.0" w:type="dxa"/>
        <w:right w:w="100.0" w:type="dxa"/>
      </w:tblCellMar>
    </w:tblPr>
  </w:style>
  <w:style w:type="table" w:styleId="Table146">
    <w:basedOn w:val="TableNormal"/>
    <w:tblPr>
      <w:tblStyleRowBandSize w:val="1"/>
      <w:tblStyleColBandSize w:val="1"/>
      <w:tblCellMar>
        <w:top w:w="100.0" w:type="dxa"/>
        <w:left w:w="100.0" w:type="dxa"/>
        <w:bottom w:w="100.0" w:type="dxa"/>
        <w:right w:w="100.0" w:type="dxa"/>
      </w:tblCellMar>
    </w:tblPr>
  </w:style>
  <w:style w:type="table" w:styleId="Table147">
    <w:basedOn w:val="TableNormal"/>
    <w:tblPr>
      <w:tblStyleRowBandSize w:val="1"/>
      <w:tblStyleColBandSize w:val="1"/>
      <w:tblCellMar>
        <w:top w:w="100.0" w:type="dxa"/>
        <w:left w:w="100.0" w:type="dxa"/>
        <w:bottom w:w="100.0" w:type="dxa"/>
        <w:right w:w="100.0" w:type="dxa"/>
      </w:tblCellMar>
    </w:tblPr>
  </w:style>
  <w:style w:type="table" w:styleId="Table148">
    <w:basedOn w:val="TableNormal"/>
    <w:tblPr>
      <w:tblStyleRowBandSize w:val="1"/>
      <w:tblStyleColBandSize w:val="1"/>
      <w:tblCellMar>
        <w:top w:w="100.0" w:type="dxa"/>
        <w:left w:w="100.0" w:type="dxa"/>
        <w:bottom w:w="100.0" w:type="dxa"/>
        <w:right w:w="100.0" w:type="dxa"/>
      </w:tblCellMar>
    </w:tblPr>
  </w:style>
  <w:style w:type="table" w:styleId="Table149">
    <w:basedOn w:val="TableNormal"/>
    <w:tblPr>
      <w:tblStyleRowBandSize w:val="1"/>
      <w:tblStyleColBandSize w:val="1"/>
      <w:tblCellMar>
        <w:top w:w="100.0" w:type="dxa"/>
        <w:left w:w="100.0" w:type="dxa"/>
        <w:bottom w:w="100.0" w:type="dxa"/>
        <w:right w:w="100.0" w:type="dxa"/>
      </w:tblCellMar>
    </w:tblPr>
  </w:style>
  <w:style w:type="table" w:styleId="Table150">
    <w:basedOn w:val="TableNormal"/>
    <w:tblPr>
      <w:tblStyleRowBandSize w:val="1"/>
      <w:tblStyleColBandSize w:val="1"/>
      <w:tblCellMar>
        <w:top w:w="100.0" w:type="dxa"/>
        <w:left w:w="100.0" w:type="dxa"/>
        <w:bottom w:w="100.0" w:type="dxa"/>
        <w:right w:w="100.0" w:type="dxa"/>
      </w:tblCellMar>
    </w:tblPr>
  </w:style>
  <w:style w:type="table" w:styleId="Table151">
    <w:basedOn w:val="TableNormal"/>
    <w:tblPr>
      <w:tblStyleRowBandSize w:val="1"/>
      <w:tblStyleColBandSize w:val="1"/>
      <w:tblCellMar>
        <w:top w:w="100.0" w:type="dxa"/>
        <w:left w:w="100.0" w:type="dxa"/>
        <w:bottom w:w="100.0" w:type="dxa"/>
        <w:right w:w="100.0" w:type="dxa"/>
      </w:tblCellMar>
    </w:tblPr>
  </w:style>
  <w:style w:type="table" w:styleId="Table152">
    <w:basedOn w:val="TableNormal"/>
    <w:tblPr>
      <w:tblStyleRowBandSize w:val="1"/>
      <w:tblStyleColBandSize w:val="1"/>
      <w:tblCellMar>
        <w:top w:w="100.0" w:type="dxa"/>
        <w:left w:w="100.0" w:type="dxa"/>
        <w:bottom w:w="100.0" w:type="dxa"/>
        <w:right w:w="100.0" w:type="dxa"/>
      </w:tblCellMar>
    </w:tblPr>
  </w:style>
  <w:style w:type="table" w:styleId="Table153">
    <w:basedOn w:val="TableNormal"/>
    <w:tblPr>
      <w:tblStyleRowBandSize w:val="1"/>
      <w:tblStyleColBandSize w:val="1"/>
      <w:tblCellMar>
        <w:top w:w="100.0" w:type="dxa"/>
        <w:left w:w="100.0" w:type="dxa"/>
        <w:bottom w:w="100.0" w:type="dxa"/>
        <w:right w:w="100.0" w:type="dxa"/>
      </w:tblCellMar>
    </w:tblPr>
  </w:style>
  <w:style w:type="table" w:styleId="Table154">
    <w:basedOn w:val="TableNormal"/>
    <w:tblPr>
      <w:tblStyleRowBandSize w:val="1"/>
      <w:tblStyleColBandSize w:val="1"/>
      <w:tblCellMar>
        <w:top w:w="100.0" w:type="dxa"/>
        <w:left w:w="100.0" w:type="dxa"/>
        <w:bottom w:w="100.0" w:type="dxa"/>
        <w:right w:w="100.0" w:type="dxa"/>
      </w:tblCellMar>
    </w:tblPr>
  </w:style>
  <w:style w:type="table" w:styleId="Table155">
    <w:basedOn w:val="TableNormal"/>
    <w:tblPr>
      <w:tblStyleRowBandSize w:val="1"/>
      <w:tblStyleColBandSize w:val="1"/>
      <w:tblCellMar>
        <w:top w:w="100.0" w:type="dxa"/>
        <w:left w:w="100.0" w:type="dxa"/>
        <w:bottom w:w="100.0" w:type="dxa"/>
        <w:right w:w="100.0" w:type="dxa"/>
      </w:tblCellMar>
    </w:tblPr>
  </w:style>
  <w:style w:type="table" w:styleId="Table156">
    <w:basedOn w:val="TableNormal"/>
    <w:tblPr>
      <w:tblStyleRowBandSize w:val="1"/>
      <w:tblStyleColBandSize w:val="1"/>
      <w:tblCellMar>
        <w:top w:w="100.0" w:type="dxa"/>
        <w:left w:w="100.0" w:type="dxa"/>
        <w:bottom w:w="100.0" w:type="dxa"/>
        <w:right w:w="100.0" w:type="dxa"/>
      </w:tblCellMar>
    </w:tblPr>
  </w:style>
  <w:style w:type="table" w:styleId="Table157">
    <w:basedOn w:val="TableNormal"/>
    <w:tblPr>
      <w:tblStyleRowBandSize w:val="1"/>
      <w:tblStyleColBandSize w:val="1"/>
      <w:tblCellMar>
        <w:top w:w="100.0" w:type="dxa"/>
        <w:left w:w="100.0" w:type="dxa"/>
        <w:bottom w:w="100.0" w:type="dxa"/>
        <w:right w:w="100.0" w:type="dxa"/>
      </w:tblCellMar>
    </w:tblPr>
  </w:style>
  <w:style w:type="table" w:styleId="Table158">
    <w:basedOn w:val="TableNormal"/>
    <w:tblPr>
      <w:tblStyleRowBandSize w:val="1"/>
      <w:tblStyleColBandSize w:val="1"/>
      <w:tblCellMar>
        <w:top w:w="100.0" w:type="dxa"/>
        <w:left w:w="100.0" w:type="dxa"/>
        <w:bottom w:w="100.0" w:type="dxa"/>
        <w:right w:w="100.0" w:type="dxa"/>
      </w:tblCellMar>
    </w:tblPr>
  </w:style>
  <w:style w:type="table" w:styleId="Table159">
    <w:basedOn w:val="TableNormal"/>
    <w:tblPr>
      <w:tblStyleRowBandSize w:val="1"/>
      <w:tblStyleColBandSize w:val="1"/>
      <w:tblCellMar>
        <w:top w:w="100.0" w:type="dxa"/>
        <w:left w:w="100.0" w:type="dxa"/>
        <w:bottom w:w="100.0" w:type="dxa"/>
        <w:right w:w="100.0" w:type="dxa"/>
      </w:tblCellMar>
    </w:tblPr>
  </w:style>
  <w:style w:type="table" w:styleId="Table160">
    <w:basedOn w:val="TableNormal"/>
    <w:tblPr>
      <w:tblStyleRowBandSize w:val="1"/>
      <w:tblStyleColBandSize w:val="1"/>
      <w:tblCellMar>
        <w:top w:w="100.0" w:type="dxa"/>
        <w:left w:w="100.0" w:type="dxa"/>
        <w:bottom w:w="100.0" w:type="dxa"/>
        <w:right w:w="100.0" w:type="dxa"/>
      </w:tblCellMar>
    </w:tblPr>
  </w:style>
  <w:style w:type="table" w:styleId="Table161">
    <w:basedOn w:val="TableNormal"/>
    <w:tblPr>
      <w:tblStyleRowBandSize w:val="1"/>
      <w:tblStyleColBandSize w:val="1"/>
      <w:tblCellMar>
        <w:top w:w="100.0" w:type="dxa"/>
        <w:left w:w="100.0" w:type="dxa"/>
        <w:bottom w:w="100.0" w:type="dxa"/>
        <w:right w:w="100.0" w:type="dxa"/>
      </w:tblCellMar>
    </w:tblPr>
  </w:style>
  <w:style w:type="table" w:styleId="Table162">
    <w:basedOn w:val="TableNormal"/>
    <w:tblPr>
      <w:tblStyleRowBandSize w:val="1"/>
      <w:tblStyleColBandSize w:val="1"/>
      <w:tblCellMar>
        <w:top w:w="100.0" w:type="dxa"/>
        <w:left w:w="100.0" w:type="dxa"/>
        <w:bottom w:w="100.0" w:type="dxa"/>
        <w:right w:w="100.0" w:type="dxa"/>
      </w:tblCellMar>
    </w:tblPr>
  </w:style>
  <w:style w:type="table" w:styleId="Table163">
    <w:basedOn w:val="TableNormal"/>
    <w:tblPr>
      <w:tblStyleRowBandSize w:val="1"/>
      <w:tblStyleColBandSize w:val="1"/>
      <w:tblCellMar>
        <w:top w:w="100.0" w:type="dxa"/>
        <w:left w:w="100.0" w:type="dxa"/>
        <w:bottom w:w="100.0" w:type="dxa"/>
        <w:right w:w="100.0" w:type="dxa"/>
      </w:tblCellMar>
    </w:tblPr>
  </w:style>
  <w:style w:type="table" w:styleId="Table164">
    <w:basedOn w:val="TableNormal"/>
    <w:tblPr>
      <w:tblStyleRowBandSize w:val="1"/>
      <w:tblStyleColBandSize w:val="1"/>
      <w:tblCellMar>
        <w:top w:w="100.0" w:type="dxa"/>
        <w:left w:w="100.0" w:type="dxa"/>
        <w:bottom w:w="100.0" w:type="dxa"/>
        <w:right w:w="100.0" w:type="dxa"/>
      </w:tblCellMar>
    </w:tblPr>
  </w:style>
  <w:style w:type="table" w:styleId="Table165">
    <w:basedOn w:val="TableNormal"/>
    <w:tblPr>
      <w:tblStyleRowBandSize w:val="1"/>
      <w:tblStyleColBandSize w:val="1"/>
      <w:tblCellMar>
        <w:top w:w="100.0" w:type="dxa"/>
        <w:left w:w="100.0" w:type="dxa"/>
        <w:bottom w:w="100.0" w:type="dxa"/>
        <w:right w:w="100.0" w:type="dxa"/>
      </w:tblCellMar>
    </w:tblPr>
  </w:style>
  <w:style w:type="table" w:styleId="Table166">
    <w:basedOn w:val="TableNormal"/>
    <w:tblPr>
      <w:tblStyleRowBandSize w:val="1"/>
      <w:tblStyleColBandSize w:val="1"/>
      <w:tblCellMar>
        <w:top w:w="100.0" w:type="dxa"/>
        <w:left w:w="100.0" w:type="dxa"/>
        <w:bottom w:w="100.0" w:type="dxa"/>
        <w:right w:w="100.0" w:type="dxa"/>
      </w:tblCellMar>
    </w:tblPr>
  </w:style>
  <w:style w:type="table" w:styleId="Table167">
    <w:basedOn w:val="TableNormal"/>
    <w:tblPr>
      <w:tblStyleRowBandSize w:val="1"/>
      <w:tblStyleColBandSize w:val="1"/>
      <w:tblCellMar>
        <w:top w:w="100.0" w:type="dxa"/>
        <w:left w:w="100.0" w:type="dxa"/>
        <w:bottom w:w="100.0" w:type="dxa"/>
        <w:right w:w="100.0" w:type="dxa"/>
      </w:tblCellMar>
    </w:tblPr>
  </w:style>
  <w:style w:type="table" w:styleId="Table168">
    <w:basedOn w:val="TableNormal"/>
    <w:tblPr>
      <w:tblStyleRowBandSize w:val="1"/>
      <w:tblStyleColBandSize w:val="1"/>
      <w:tblCellMar>
        <w:top w:w="100.0" w:type="dxa"/>
        <w:left w:w="100.0" w:type="dxa"/>
        <w:bottom w:w="100.0" w:type="dxa"/>
        <w:right w:w="100.0" w:type="dxa"/>
      </w:tblCellMar>
    </w:tblPr>
  </w:style>
  <w:style w:type="table" w:styleId="Table169">
    <w:basedOn w:val="TableNormal"/>
    <w:tblPr>
      <w:tblStyleRowBandSize w:val="1"/>
      <w:tblStyleColBandSize w:val="1"/>
      <w:tblCellMar>
        <w:top w:w="100.0" w:type="dxa"/>
        <w:left w:w="100.0" w:type="dxa"/>
        <w:bottom w:w="100.0" w:type="dxa"/>
        <w:right w:w="100.0" w:type="dxa"/>
      </w:tblCellMar>
    </w:tblPr>
  </w:style>
  <w:style w:type="table" w:styleId="Table170">
    <w:basedOn w:val="TableNormal"/>
    <w:tblPr>
      <w:tblStyleRowBandSize w:val="1"/>
      <w:tblStyleColBandSize w:val="1"/>
      <w:tblCellMar>
        <w:top w:w="100.0" w:type="dxa"/>
        <w:left w:w="100.0" w:type="dxa"/>
        <w:bottom w:w="100.0" w:type="dxa"/>
        <w:right w:w="100.0" w:type="dxa"/>
      </w:tblCellMar>
    </w:tblPr>
  </w:style>
  <w:style w:type="table" w:styleId="Table171">
    <w:basedOn w:val="TableNormal"/>
    <w:tblPr>
      <w:tblStyleRowBandSize w:val="1"/>
      <w:tblStyleColBandSize w:val="1"/>
      <w:tblCellMar>
        <w:top w:w="100.0" w:type="dxa"/>
        <w:left w:w="100.0" w:type="dxa"/>
        <w:bottom w:w="100.0" w:type="dxa"/>
        <w:right w:w="100.0" w:type="dxa"/>
      </w:tblCellMar>
    </w:tblPr>
  </w:style>
  <w:style w:type="table" w:styleId="Table172">
    <w:basedOn w:val="TableNormal"/>
    <w:tblPr>
      <w:tblStyleRowBandSize w:val="1"/>
      <w:tblStyleColBandSize w:val="1"/>
      <w:tblCellMar>
        <w:top w:w="100.0" w:type="dxa"/>
        <w:left w:w="100.0" w:type="dxa"/>
        <w:bottom w:w="100.0" w:type="dxa"/>
        <w:right w:w="100.0" w:type="dxa"/>
      </w:tblCellMar>
    </w:tblPr>
  </w:style>
  <w:style w:type="table" w:styleId="Table173">
    <w:basedOn w:val="TableNormal"/>
    <w:tblPr>
      <w:tblStyleRowBandSize w:val="1"/>
      <w:tblStyleColBandSize w:val="1"/>
      <w:tblCellMar>
        <w:top w:w="100.0" w:type="dxa"/>
        <w:left w:w="100.0" w:type="dxa"/>
        <w:bottom w:w="100.0" w:type="dxa"/>
        <w:right w:w="100.0" w:type="dxa"/>
      </w:tblCellMar>
    </w:tblPr>
  </w:style>
  <w:style w:type="table" w:styleId="Table174">
    <w:basedOn w:val="TableNormal"/>
    <w:tblPr>
      <w:tblStyleRowBandSize w:val="1"/>
      <w:tblStyleColBandSize w:val="1"/>
      <w:tblCellMar>
        <w:top w:w="100.0" w:type="dxa"/>
        <w:left w:w="100.0" w:type="dxa"/>
        <w:bottom w:w="100.0" w:type="dxa"/>
        <w:right w:w="100.0" w:type="dxa"/>
      </w:tblCellMar>
    </w:tblPr>
  </w:style>
  <w:style w:type="table" w:styleId="Table175">
    <w:basedOn w:val="TableNormal"/>
    <w:tblPr>
      <w:tblStyleRowBandSize w:val="1"/>
      <w:tblStyleColBandSize w:val="1"/>
      <w:tblCellMar>
        <w:top w:w="100.0" w:type="dxa"/>
        <w:left w:w="100.0" w:type="dxa"/>
        <w:bottom w:w="100.0" w:type="dxa"/>
        <w:right w:w="100.0" w:type="dxa"/>
      </w:tblCellMar>
    </w:tblPr>
  </w:style>
  <w:style w:type="table" w:styleId="Table176">
    <w:basedOn w:val="TableNormal"/>
    <w:tblPr>
      <w:tblStyleRowBandSize w:val="1"/>
      <w:tblStyleColBandSize w:val="1"/>
      <w:tblCellMar>
        <w:top w:w="100.0" w:type="dxa"/>
        <w:left w:w="100.0" w:type="dxa"/>
        <w:bottom w:w="100.0" w:type="dxa"/>
        <w:right w:w="100.0" w:type="dxa"/>
      </w:tblCellMar>
    </w:tblPr>
  </w:style>
  <w:style w:type="table" w:styleId="Table177">
    <w:basedOn w:val="TableNormal"/>
    <w:tblPr>
      <w:tblStyleRowBandSize w:val="1"/>
      <w:tblStyleColBandSize w:val="1"/>
      <w:tblCellMar>
        <w:top w:w="100.0" w:type="dxa"/>
        <w:left w:w="100.0" w:type="dxa"/>
        <w:bottom w:w="100.0" w:type="dxa"/>
        <w:right w:w="100.0" w:type="dxa"/>
      </w:tblCellMar>
    </w:tblPr>
  </w:style>
  <w:style w:type="table" w:styleId="Table178">
    <w:basedOn w:val="TableNormal"/>
    <w:tblPr>
      <w:tblStyleRowBandSize w:val="1"/>
      <w:tblStyleColBandSize w:val="1"/>
      <w:tblCellMar>
        <w:top w:w="100.0" w:type="dxa"/>
        <w:left w:w="100.0" w:type="dxa"/>
        <w:bottom w:w="100.0" w:type="dxa"/>
        <w:right w:w="100.0" w:type="dxa"/>
      </w:tblCellMar>
    </w:tblPr>
  </w:style>
  <w:style w:type="table" w:styleId="Table179">
    <w:basedOn w:val="TableNormal"/>
    <w:tblPr>
      <w:tblStyleRowBandSize w:val="1"/>
      <w:tblStyleColBandSize w:val="1"/>
      <w:tblCellMar>
        <w:top w:w="100.0" w:type="dxa"/>
        <w:left w:w="100.0" w:type="dxa"/>
        <w:bottom w:w="100.0" w:type="dxa"/>
        <w:right w:w="100.0" w:type="dxa"/>
      </w:tblCellMar>
    </w:tblPr>
  </w:style>
  <w:style w:type="table" w:styleId="Table180">
    <w:basedOn w:val="TableNormal"/>
    <w:tblPr>
      <w:tblStyleRowBandSize w:val="1"/>
      <w:tblStyleColBandSize w:val="1"/>
      <w:tblCellMar>
        <w:top w:w="100.0" w:type="dxa"/>
        <w:left w:w="100.0" w:type="dxa"/>
        <w:bottom w:w="100.0" w:type="dxa"/>
        <w:right w:w="100.0" w:type="dxa"/>
      </w:tblCellMar>
    </w:tblPr>
  </w:style>
  <w:style w:type="table" w:styleId="Table181">
    <w:basedOn w:val="TableNormal"/>
    <w:tblPr>
      <w:tblStyleRowBandSize w:val="1"/>
      <w:tblStyleColBandSize w:val="1"/>
      <w:tblCellMar>
        <w:top w:w="100.0" w:type="dxa"/>
        <w:left w:w="100.0" w:type="dxa"/>
        <w:bottom w:w="100.0" w:type="dxa"/>
        <w:right w:w="100.0" w:type="dxa"/>
      </w:tblCellMar>
    </w:tblPr>
  </w:style>
  <w:style w:type="table" w:styleId="Table182">
    <w:basedOn w:val="TableNormal"/>
    <w:tblPr>
      <w:tblStyleRowBandSize w:val="1"/>
      <w:tblStyleColBandSize w:val="1"/>
      <w:tblCellMar>
        <w:top w:w="100.0" w:type="dxa"/>
        <w:left w:w="100.0" w:type="dxa"/>
        <w:bottom w:w="100.0" w:type="dxa"/>
        <w:right w:w="100.0" w:type="dxa"/>
      </w:tblCellMar>
    </w:tblPr>
  </w:style>
  <w:style w:type="table" w:styleId="Table183">
    <w:basedOn w:val="TableNormal"/>
    <w:tblPr>
      <w:tblStyleRowBandSize w:val="1"/>
      <w:tblStyleColBandSize w:val="1"/>
      <w:tblCellMar>
        <w:top w:w="100.0" w:type="dxa"/>
        <w:left w:w="100.0" w:type="dxa"/>
        <w:bottom w:w="100.0" w:type="dxa"/>
        <w:right w:w="100.0" w:type="dxa"/>
      </w:tblCellMar>
    </w:tblPr>
  </w:style>
  <w:style w:type="table" w:styleId="Table184">
    <w:basedOn w:val="TableNormal"/>
    <w:tblPr>
      <w:tblStyleRowBandSize w:val="1"/>
      <w:tblStyleColBandSize w:val="1"/>
      <w:tblCellMar>
        <w:top w:w="100.0" w:type="dxa"/>
        <w:left w:w="100.0" w:type="dxa"/>
        <w:bottom w:w="100.0" w:type="dxa"/>
        <w:right w:w="100.0" w:type="dxa"/>
      </w:tblCellMar>
    </w:tblPr>
  </w:style>
  <w:style w:type="table" w:styleId="Table185">
    <w:basedOn w:val="TableNormal"/>
    <w:tblPr>
      <w:tblStyleRowBandSize w:val="1"/>
      <w:tblStyleColBandSize w:val="1"/>
      <w:tblCellMar>
        <w:top w:w="100.0" w:type="dxa"/>
        <w:left w:w="100.0" w:type="dxa"/>
        <w:bottom w:w="100.0" w:type="dxa"/>
        <w:right w:w="100.0" w:type="dxa"/>
      </w:tblCellMar>
    </w:tblPr>
  </w:style>
  <w:style w:type="table" w:styleId="Table186">
    <w:basedOn w:val="TableNormal"/>
    <w:tblPr>
      <w:tblStyleRowBandSize w:val="1"/>
      <w:tblStyleColBandSize w:val="1"/>
      <w:tblCellMar>
        <w:top w:w="100.0" w:type="dxa"/>
        <w:left w:w="100.0" w:type="dxa"/>
        <w:bottom w:w="100.0" w:type="dxa"/>
        <w:right w:w="100.0" w:type="dxa"/>
      </w:tblCellMar>
    </w:tblPr>
  </w:style>
  <w:style w:type="table" w:styleId="Table187">
    <w:basedOn w:val="TableNormal"/>
    <w:tblPr>
      <w:tblStyleRowBandSize w:val="1"/>
      <w:tblStyleColBandSize w:val="1"/>
      <w:tblCellMar>
        <w:top w:w="100.0" w:type="dxa"/>
        <w:left w:w="100.0" w:type="dxa"/>
        <w:bottom w:w="100.0" w:type="dxa"/>
        <w:right w:w="100.0" w:type="dxa"/>
      </w:tblCellMar>
    </w:tblPr>
  </w:style>
  <w:style w:type="table" w:styleId="Table188">
    <w:basedOn w:val="TableNormal"/>
    <w:tblPr>
      <w:tblStyleRowBandSize w:val="1"/>
      <w:tblStyleColBandSize w:val="1"/>
      <w:tblCellMar>
        <w:top w:w="100.0" w:type="dxa"/>
        <w:left w:w="100.0" w:type="dxa"/>
        <w:bottom w:w="100.0" w:type="dxa"/>
        <w:right w:w="100.0" w:type="dxa"/>
      </w:tblCellMar>
    </w:tblPr>
  </w:style>
  <w:style w:type="table" w:styleId="Table189">
    <w:basedOn w:val="TableNormal"/>
    <w:tblPr>
      <w:tblStyleRowBandSize w:val="1"/>
      <w:tblStyleColBandSize w:val="1"/>
      <w:tblCellMar>
        <w:top w:w="100.0" w:type="dxa"/>
        <w:left w:w="100.0" w:type="dxa"/>
        <w:bottom w:w="100.0" w:type="dxa"/>
        <w:right w:w="100.0" w:type="dxa"/>
      </w:tblCellMar>
    </w:tblPr>
  </w:style>
  <w:style w:type="table" w:styleId="Table190">
    <w:basedOn w:val="TableNormal"/>
    <w:tblPr>
      <w:tblStyleRowBandSize w:val="1"/>
      <w:tblStyleColBandSize w:val="1"/>
      <w:tblCellMar>
        <w:top w:w="100.0" w:type="dxa"/>
        <w:left w:w="100.0" w:type="dxa"/>
        <w:bottom w:w="100.0" w:type="dxa"/>
        <w:right w:w="100.0" w:type="dxa"/>
      </w:tblCellMar>
    </w:tblPr>
  </w:style>
  <w:style w:type="table" w:styleId="Table191">
    <w:basedOn w:val="TableNormal"/>
    <w:tblPr>
      <w:tblStyleRowBandSize w:val="1"/>
      <w:tblStyleColBandSize w:val="1"/>
      <w:tblCellMar>
        <w:top w:w="100.0" w:type="dxa"/>
        <w:left w:w="100.0" w:type="dxa"/>
        <w:bottom w:w="100.0" w:type="dxa"/>
        <w:right w:w="100.0" w:type="dxa"/>
      </w:tblCellMar>
    </w:tblPr>
  </w:style>
  <w:style w:type="table" w:styleId="Table192">
    <w:basedOn w:val="TableNormal"/>
    <w:tblPr>
      <w:tblStyleRowBandSize w:val="1"/>
      <w:tblStyleColBandSize w:val="1"/>
      <w:tblCellMar>
        <w:top w:w="100.0" w:type="dxa"/>
        <w:left w:w="100.0" w:type="dxa"/>
        <w:bottom w:w="100.0" w:type="dxa"/>
        <w:right w:w="100.0" w:type="dxa"/>
      </w:tblCellMar>
    </w:tblPr>
  </w:style>
  <w:style w:type="table" w:styleId="Table193">
    <w:basedOn w:val="TableNormal"/>
    <w:tblPr>
      <w:tblStyleRowBandSize w:val="1"/>
      <w:tblStyleColBandSize w:val="1"/>
      <w:tblCellMar>
        <w:top w:w="100.0" w:type="dxa"/>
        <w:left w:w="100.0" w:type="dxa"/>
        <w:bottom w:w="100.0" w:type="dxa"/>
        <w:right w:w="100.0" w:type="dxa"/>
      </w:tblCellMar>
    </w:tblPr>
  </w:style>
  <w:style w:type="table" w:styleId="Table194">
    <w:basedOn w:val="TableNormal"/>
    <w:tblPr>
      <w:tblStyleRowBandSize w:val="1"/>
      <w:tblStyleColBandSize w:val="1"/>
      <w:tblCellMar>
        <w:top w:w="100.0" w:type="dxa"/>
        <w:left w:w="100.0" w:type="dxa"/>
        <w:bottom w:w="100.0" w:type="dxa"/>
        <w:right w:w="100.0" w:type="dxa"/>
      </w:tblCellMar>
    </w:tblPr>
  </w:style>
  <w:style w:type="table" w:styleId="Table195">
    <w:basedOn w:val="TableNormal"/>
    <w:tblPr>
      <w:tblStyleRowBandSize w:val="1"/>
      <w:tblStyleColBandSize w:val="1"/>
      <w:tblCellMar>
        <w:top w:w="100.0" w:type="dxa"/>
        <w:left w:w="100.0" w:type="dxa"/>
        <w:bottom w:w="100.0" w:type="dxa"/>
        <w:right w:w="100.0" w:type="dxa"/>
      </w:tblCellMar>
    </w:tblPr>
  </w:style>
  <w:style w:type="table" w:styleId="Table196">
    <w:basedOn w:val="TableNormal"/>
    <w:tblPr>
      <w:tblStyleRowBandSize w:val="1"/>
      <w:tblStyleColBandSize w:val="1"/>
      <w:tblCellMar>
        <w:top w:w="100.0" w:type="dxa"/>
        <w:left w:w="100.0" w:type="dxa"/>
        <w:bottom w:w="100.0" w:type="dxa"/>
        <w:right w:w="100.0" w:type="dxa"/>
      </w:tblCellMar>
    </w:tblPr>
  </w:style>
  <w:style w:type="table" w:styleId="Table197">
    <w:basedOn w:val="TableNormal"/>
    <w:tblPr>
      <w:tblStyleRowBandSize w:val="1"/>
      <w:tblStyleColBandSize w:val="1"/>
      <w:tblCellMar>
        <w:top w:w="100.0" w:type="dxa"/>
        <w:left w:w="100.0" w:type="dxa"/>
        <w:bottom w:w="100.0" w:type="dxa"/>
        <w:right w:w="100.0" w:type="dxa"/>
      </w:tblCellMar>
    </w:tblPr>
  </w:style>
  <w:style w:type="table" w:styleId="Table198">
    <w:basedOn w:val="TableNormal"/>
    <w:tblPr>
      <w:tblStyleRowBandSize w:val="1"/>
      <w:tblStyleColBandSize w:val="1"/>
      <w:tblCellMar>
        <w:top w:w="100.0" w:type="dxa"/>
        <w:left w:w="100.0" w:type="dxa"/>
        <w:bottom w:w="100.0" w:type="dxa"/>
        <w:right w:w="100.0" w:type="dxa"/>
      </w:tblCellMar>
    </w:tblPr>
  </w:style>
  <w:style w:type="table" w:styleId="Table199">
    <w:basedOn w:val="TableNormal"/>
    <w:tblPr>
      <w:tblStyleRowBandSize w:val="1"/>
      <w:tblStyleColBandSize w:val="1"/>
      <w:tblCellMar>
        <w:top w:w="100.0" w:type="dxa"/>
        <w:left w:w="100.0" w:type="dxa"/>
        <w:bottom w:w="100.0" w:type="dxa"/>
        <w:right w:w="100.0" w:type="dxa"/>
      </w:tblCellMar>
    </w:tblPr>
  </w:style>
  <w:style w:type="table" w:styleId="Table200">
    <w:basedOn w:val="TableNormal"/>
    <w:tblPr>
      <w:tblStyleRowBandSize w:val="1"/>
      <w:tblStyleColBandSize w:val="1"/>
      <w:tblCellMar>
        <w:top w:w="100.0" w:type="dxa"/>
        <w:left w:w="100.0" w:type="dxa"/>
        <w:bottom w:w="100.0" w:type="dxa"/>
        <w:right w:w="100.0" w:type="dxa"/>
      </w:tblCellMar>
    </w:tblPr>
  </w:style>
  <w:style w:type="table" w:styleId="Table201">
    <w:basedOn w:val="TableNormal"/>
    <w:tblPr>
      <w:tblStyleRowBandSize w:val="1"/>
      <w:tblStyleColBandSize w:val="1"/>
      <w:tblCellMar>
        <w:top w:w="100.0" w:type="dxa"/>
        <w:left w:w="100.0" w:type="dxa"/>
        <w:bottom w:w="100.0" w:type="dxa"/>
        <w:right w:w="100.0" w:type="dxa"/>
      </w:tblCellMar>
    </w:tblPr>
  </w:style>
  <w:style w:type="table" w:styleId="Table202">
    <w:basedOn w:val="TableNormal"/>
    <w:tblPr>
      <w:tblStyleRowBandSize w:val="1"/>
      <w:tblStyleColBandSize w:val="1"/>
      <w:tblCellMar>
        <w:top w:w="100.0" w:type="dxa"/>
        <w:left w:w="100.0" w:type="dxa"/>
        <w:bottom w:w="100.0" w:type="dxa"/>
        <w:right w:w="100.0" w:type="dxa"/>
      </w:tblCellMar>
    </w:tblPr>
  </w:style>
  <w:style w:type="table" w:styleId="Table203">
    <w:basedOn w:val="TableNormal"/>
    <w:tblPr>
      <w:tblStyleRowBandSize w:val="1"/>
      <w:tblStyleColBandSize w:val="1"/>
      <w:tblCellMar>
        <w:top w:w="100.0" w:type="dxa"/>
        <w:left w:w="100.0" w:type="dxa"/>
        <w:bottom w:w="100.0" w:type="dxa"/>
        <w:right w:w="100.0" w:type="dxa"/>
      </w:tblCellMar>
    </w:tblPr>
  </w:style>
  <w:style w:type="table" w:styleId="Table204">
    <w:basedOn w:val="TableNormal"/>
    <w:tblPr>
      <w:tblStyleRowBandSize w:val="1"/>
      <w:tblStyleColBandSize w:val="1"/>
      <w:tblCellMar>
        <w:top w:w="100.0" w:type="dxa"/>
        <w:left w:w="100.0" w:type="dxa"/>
        <w:bottom w:w="100.0" w:type="dxa"/>
        <w:right w:w="100.0" w:type="dxa"/>
      </w:tblCellMar>
    </w:tblPr>
  </w:style>
  <w:style w:type="table" w:styleId="Table205">
    <w:basedOn w:val="TableNormal"/>
    <w:tblPr>
      <w:tblStyleRowBandSize w:val="1"/>
      <w:tblStyleColBandSize w:val="1"/>
      <w:tblCellMar>
        <w:top w:w="100.0" w:type="dxa"/>
        <w:left w:w="100.0" w:type="dxa"/>
        <w:bottom w:w="100.0" w:type="dxa"/>
        <w:right w:w="100.0" w:type="dxa"/>
      </w:tblCellMar>
    </w:tblPr>
  </w:style>
  <w:style w:type="table" w:styleId="Table206">
    <w:basedOn w:val="TableNormal"/>
    <w:tblPr>
      <w:tblStyleRowBandSize w:val="1"/>
      <w:tblStyleColBandSize w:val="1"/>
      <w:tblCellMar>
        <w:top w:w="100.0" w:type="dxa"/>
        <w:left w:w="100.0" w:type="dxa"/>
        <w:bottom w:w="100.0" w:type="dxa"/>
        <w:right w:w="100.0" w:type="dxa"/>
      </w:tblCellMar>
    </w:tblPr>
  </w:style>
  <w:style w:type="table" w:styleId="Table207">
    <w:basedOn w:val="TableNormal"/>
    <w:tblPr>
      <w:tblStyleRowBandSize w:val="1"/>
      <w:tblStyleColBandSize w:val="1"/>
      <w:tblCellMar>
        <w:top w:w="100.0" w:type="dxa"/>
        <w:left w:w="100.0" w:type="dxa"/>
        <w:bottom w:w="100.0" w:type="dxa"/>
        <w:right w:w="100.0" w:type="dxa"/>
      </w:tblCellMar>
    </w:tblPr>
  </w:style>
  <w:style w:type="table" w:styleId="Table208">
    <w:basedOn w:val="TableNormal"/>
    <w:tblPr>
      <w:tblStyleRowBandSize w:val="1"/>
      <w:tblStyleColBandSize w:val="1"/>
      <w:tblCellMar>
        <w:top w:w="100.0" w:type="dxa"/>
        <w:left w:w="100.0" w:type="dxa"/>
        <w:bottom w:w="100.0" w:type="dxa"/>
        <w:right w:w="100.0" w:type="dxa"/>
      </w:tblCellMar>
    </w:tblPr>
  </w:style>
  <w:style w:type="table" w:styleId="Table209">
    <w:basedOn w:val="TableNormal"/>
    <w:tblPr>
      <w:tblStyleRowBandSize w:val="1"/>
      <w:tblStyleColBandSize w:val="1"/>
      <w:tblCellMar>
        <w:top w:w="100.0" w:type="dxa"/>
        <w:left w:w="100.0" w:type="dxa"/>
        <w:bottom w:w="100.0" w:type="dxa"/>
        <w:right w:w="100.0" w:type="dxa"/>
      </w:tblCellMar>
    </w:tblPr>
  </w:style>
  <w:style w:type="table" w:styleId="Table210">
    <w:basedOn w:val="TableNormal"/>
    <w:tblPr>
      <w:tblStyleRowBandSize w:val="1"/>
      <w:tblStyleColBandSize w:val="1"/>
      <w:tblCellMar>
        <w:top w:w="100.0" w:type="dxa"/>
        <w:left w:w="100.0" w:type="dxa"/>
        <w:bottom w:w="100.0" w:type="dxa"/>
        <w:right w:w="100.0" w:type="dxa"/>
      </w:tblCellMar>
    </w:tblPr>
  </w:style>
  <w:style w:type="table" w:styleId="Table211">
    <w:basedOn w:val="TableNormal"/>
    <w:tblPr>
      <w:tblStyleRowBandSize w:val="1"/>
      <w:tblStyleColBandSize w:val="1"/>
      <w:tblCellMar>
        <w:top w:w="100.0" w:type="dxa"/>
        <w:left w:w="100.0" w:type="dxa"/>
        <w:bottom w:w="100.0" w:type="dxa"/>
        <w:right w:w="100.0" w:type="dxa"/>
      </w:tblCellMar>
    </w:tblPr>
  </w:style>
  <w:style w:type="table" w:styleId="Table212">
    <w:basedOn w:val="TableNormal"/>
    <w:tblPr>
      <w:tblStyleRowBandSize w:val="1"/>
      <w:tblStyleColBandSize w:val="1"/>
      <w:tblCellMar>
        <w:top w:w="100.0" w:type="dxa"/>
        <w:left w:w="100.0" w:type="dxa"/>
        <w:bottom w:w="100.0" w:type="dxa"/>
        <w:right w:w="100.0" w:type="dxa"/>
      </w:tblCellMar>
    </w:tblPr>
  </w:style>
  <w:style w:type="table" w:styleId="Table213">
    <w:basedOn w:val="TableNormal"/>
    <w:tblPr>
      <w:tblStyleRowBandSize w:val="1"/>
      <w:tblStyleColBandSize w:val="1"/>
      <w:tblCellMar>
        <w:top w:w="100.0" w:type="dxa"/>
        <w:left w:w="100.0" w:type="dxa"/>
        <w:bottom w:w="100.0" w:type="dxa"/>
        <w:right w:w="100.0" w:type="dxa"/>
      </w:tblCellMar>
    </w:tblPr>
  </w:style>
  <w:style w:type="table" w:styleId="Table214">
    <w:basedOn w:val="TableNormal"/>
    <w:tblPr>
      <w:tblStyleRowBandSize w:val="1"/>
      <w:tblStyleColBandSize w:val="1"/>
      <w:tblCellMar>
        <w:top w:w="100.0" w:type="dxa"/>
        <w:left w:w="100.0" w:type="dxa"/>
        <w:bottom w:w="100.0" w:type="dxa"/>
        <w:right w:w="100.0" w:type="dxa"/>
      </w:tblCellMar>
    </w:tblPr>
  </w:style>
  <w:style w:type="table" w:styleId="Table215">
    <w:basedOn w:val="TableNormal"/>
    <w:tblPr>
      <w:tblStyleRowBandSize w:val="1"/>
      <w:tblStyleColBandSize w:val="1"/>
      <w:tblCellMar>
        <w:top w:w="100.0" w:type="dxa"/>
        <w:left w:w="100.0" w:type="dxa"/>
        <w:bottom w:w="100.0" w:type="dxa"/>
        <w:right w:w="100.0" w:type="dxa"/>
      </w:tblCellMar>
    </w:tblPr>
  </w:style>
  <w:style w:type="table" w:styleId="Table216">
    <w:basedOn w:val="TableNormal"/>
    <w:tblPr>
      <w:tblStyleRowBandSize w:val="1"/>
      <w:tblStyleColBandSize w:val="1"/>
      <w:tblCellMar>
        <w:top w:w="100.0" w:type="dxa"/>
        <w:left w:w="100.0" w:type="dxa"/>
        <w:bottom w:w="100.0" w:type="dxa"/>
        <w:right w:w="100.0" w:type="dxa"/>
      </w:tblCellMar>
    </w:tblPr>
  </w:style>
  <w:style w:type="table" w:styleId="Table217">
    <w:basedOn w:val="TableNormal"/>
    <w:tblPr>
      <w:tblStyleRowBandSize w:val="1"/>
      <w:tblStyleColBandSize w:val="1"/>
      <w:tblCellMar>
        <w:top w:w="100.0" w:type="dxa"/>
        <w:left w:w="100.0" w:type="dxa"/>
        <w:bottom w:w="100.0" w:type="dxa"/>
        <w:right w:w="100.0" w:type="dxa"/>
      </w:tblCellMar>
    </w:tblPr>
  </w:style>
  <w:style w:type="table" w:styleId="Table218">
    <w:basedOn w:val="TableNormal"/>
    <w:tblPr>
      <w:tblStyleRowBandSize w:val="1"/>
      <w:tblStyleColBandSize w:val="1"/>
      <w:tblCellMar>
        <w:top w:w="100.0" w:type="dxa"/>
        <w:left w:w="100.0" w:type="dxa"/>
        <w:bottom w:w="100.0" w:type="dxa"/>
        <w:right w:w="100.0" w:type="dxa"/>
      </w:tblCellMar>
    </w:tblPr>
  </w:style>
  <w:style w:type="table" w:styleId="Table219">
    <w:basedOn w:val="TableNormal"/>
    <w:tblPr>
      <w:tblStyleRowBandSize w:val="1"/>
      <w:tblStyleColBandSize w:val="1"/>
      <w:tblCellMar>
        <w:top w:w="100.0" w:type="dxa"/>
        <w:left w:w="100.0" w:type="dxa"/>
        <w:bottom w:w="100.0" w:type="dxa"/>
        <w:right w:w="100.0" w:type="dxa"/>
      </w:tblCellMar>
    </w:tblPr>
  </w:style>
  <w:style w:type="table" w:styleId="Table220">
    <w:basedOn w:val="TableNormal"/>
    <w:tblPr>
      <w:tblStyleRowBandSize w:val="1"/>
      <w:tblStyleColBandSize w:val="1"/>
      <w:tblCellMar>
        <w:top w:w="100.0" w:type="dxa"/>
        <w:left w:w="100.0" w:type="dxa"/>
        <w:bottom w:w="100.0" w:type="dxa"/>
        <w:right w:w="100.0" w:type="dxa"/>
      </w:tblCellMar>
    </w:tblPr>
  </w:style>
  <w:style w:type="table" w:styleId="Table221">
    <w:basedOn w:val="TableNormal"/>
    <w:tblPr>
      <w:tblStyleRowBandSize w:val="1"/>
      <w:tblStyleColBandSize w:val="1"/>
      <w:tblCellMar>
        <w:top w:w="100.0" w:type="dxa"/>
        <w:left w:w="100.0" w:type="dxa"/>
        <w:bottom w:w="100.0" w:type="dxa"/>
        <w:right w:w="100.0" w:type="dxa"/>
      </w:tblCellMar>
    </w:tblPr>
  </w:style>
  <w:style w:type="table" w:styleId="Table222">
    <w:basedOn w:val="TableNormal"/>
    <w:tblPr>
      <w:tblStyleRowBandSize w:val="1"/>
      <w:tblStyleColBandSize w:val="1"/>
      <w:tblCellMar>
        <w:top w:w="100.0" w:type="dxa"/>
        <w:left w:w="100.0" w:type="dxa"/>
        <w:bottom w:w="100.0" w:type="dxa"/>
        <w:right w:w="100.0" w:type="dxa"/>
      </w:tblCellMar>
    </w:tblPr>
  </w:style>
  <w:style w:type="table" w:styleId="Table223">
    <w:basedOn w:val="TableNormal"/>
    <w:tblPr>
      <w:tblStyleRowBandSize w:val="1"/>
      <w:tblStyleColBandSize w:val="1"/>
      <w:tblCellMar>
        <w:top w:w="100.0" w:type="dxa"/>
        <w:left w:w="100.0" w:type="dxa"/>
        <w:bottom w:w="100.0" w:type="dxa"/>
        <w:right w:w="100.0" w:type="dxa"/>
      </w:tblCellMar>
    </w:tblPr>
  </w:style>
  <w:style w:type="table" w:styleId="Table224">
    <w:basedOn w:val="TableNormal"/>
    <w:tblPr>
      <w:tblStyleRowBandSize w:val="1"/>
      <w:tblStyleColBandSize w:val="1"/>
      <w:tblCellMar>
        <w:top w:w="100.0" w:type="dxa"/>
        <w:left w:w="100.0" w:type="dxa"/>
        <w:bottom w:w="100.0" w:type="dxa"/>
        <w:right w:w="100.0" w:type="dxa"/>
      </w:tblCellMar>
    </w:tblPr>
  </w:style>
  <w:style w:type="table" w:styleId="Table225">
    <w:basedOn w:val="TableNormal"/>
    <w:tblPr>
      <w:tblStyleRowBandSize w:val="1"/>
      <w:tblStyleColBandSize w:val="1"/>
      <w:tblCellMar>
        <w:top w:w="100.0" w:type="dxa"/>
        <w:left w:w="100.0" w:type="dxa"/>
        <w:bottom w:w="100.0" w:type="dxa"/>
        <w:right w:w="100.0" w:type="dxa"/>
      </w:tblCellMar>
    </w:tblPr>
  </w:style>
  <w:style w:type="table" w:styleId="Table226">
    <w:basedOn w:val="TableNormal"/>
    <w:tblPr>
      <w:tblStyleRowBandSize w:val="1"/>
      <w:tblStyleColBandSize w:val="1"/>
      <w:tblCellMar>
        <w:top w:w="100.0" w:type="dxa"/>
        <w:left w:w="100.0" w:type="dxa"/>
        <w:bottom w:w="100.0" w:type="dxa"/>
        <w:right w:w="100.0" w:type="dxa"/>
      </w:tblCellMar>
    </w:tblPr>
  </w:style>
  <w:style w:type="table" w:styleId="Table227">
    <w:basedOn w:val="TableNormal"/>
    <w:tblPr>
      <w:tblStyleRowBandSize w:val="1"/>
      <w:tblStyleColBandSize w:val="1"/>
      <w:tblCellMar>
        <w:top w:w="100.0" w:type="dxa"/>
        <w:left w:w="100.0" w:type="dxa"/>
        <w:bottom w:w="100.0" w:type="dxa"/>
        <w:right w:w="100.0" w:type="dxa"/>
      </w:tblCellMar>
    </w:tblPr>
  </w:style>
  <w:style w:type="table" w:styleId="Table228">
    <w:basedOn w:val="TableNormal"/>
    <w:tblPr>
      <w:tblStyleRowBandSize w:val="1"/>
      <w:tblStyleColBandSize w:val="1"/>
      <w:tblCellMar>
        <w:top w:w="100.0" w:type="dxa"/>
        <w:left w:w="100.0" w:type="dxa"/>
        <w:bottom w:w="100.0" w:type="dxa"/>
        <w:right w:w="100.0" w:type="dxa"/>
      </w:tblCellMar>
    </w:tblPr>
  </w:style>
  <w:style w:type="table" w:styleId="Table229">
    <w:basedOn w:val="TableNormal"/>
    <w:tblPr>
      <w:tblStyleRowBandSize w:val="1"/>
      <w:tblStyleColBandSize w:val="1"/>
      <w:tblCellMar>
        <w:top w:w="100.0" w:type="dxa"/>
        <w:left w:w="100.0" w:type="dxa"/>
        <w:bottom w:w="100.0" w:type="dxa"/>
        <w:right w:w="100.0" w:type="dxa"/>
      </w:tblCellMar>
    </w:tblPr>
  </w:style>
  <w:style w:type="table" w:styleId="Table230">
    <w:basedOn w:val="TableNormal"/>
    <w:tblPr>
      <w:tblStyleRowBandSize w:val="1"/>
      <w:tblStyleColBandSize w:val="1"/>
      <w:tblCellMar>
        <w:top w:w="100.0" w:type="dxa"/>
        <w:left w:w="100.0" w:type="dxa"/>
        <w:bottom w:w="100.0" w:type="dxa"/>
        <w:right w:w="100.0" w:type="dxa"/>
      </w:tblCellMar>
    </w:tblPr>
  </w:style>
  <w:style w:type="table" w:styleId="Table231">
    <w:basedOn w:val="TableNormal"/>
    <w:tblPr>
      <w:tblStyleRowBandSize w:val="1"/>
      <w:tblStyleColBandSize w:val="1"/>
      <w:tblCellMar>
        <w:top w:w="100.0" w:type="dxa"/>
        <w:left w:w="100.0" w:type="dxa"/>
        <w:bottom w:w="100.0" w:type="dxa"/>
        <w:right w:w="100.0" w:type="dxa"/>
      </w:tblCellMar>
    </w:tblPr>
  </w:style>
  <w:style w:type="table" w:styleId="Table232">
    <w:basedOn w:val="TableNormal"/>
    <w:tblPr>
      <w:tblStyleRowBandSize w:val="1"/>
      <w:tblStyleColBandSize w:val="1"/>
      <w:tblCellMar>
        <w:top w:w="100.0" w:type="dxa"/>
        <w:left w:w="100.0" w:type="dxa"/>
        <w:bottom w:w="100.0" w:type="dxa"/>
        <w:right w:w="100.0" w:type="dxa"/>
      </w:tblCellMar>
    </w:tblPr>
  </w:style>
  <w:style w:type="table" w:styleId="Table233">
    <w:basedOn w:val="TableNormal"/>
    <w:tblPr>
      <w:tblStyleRowBandSize w:val="1"/>
      <w:tblStyleColBandSize w:val="1"/>
      <w:tblCellMar>
        <w:top w:w="100.0" w:type="dxa"/>
        <w:left w:w="100.0" w:type="dxa"/>
        <w:bottom w:w="100.0" w:type="dxa"/>
        <w:right w:w="100.0" w:type="dxa"/>
      </w:tblCellMar>
    </w:tblPr>
  </w:style>
  <w:style w:type="table" w:styleId="Table234">
    <w:basedOn w:val="TableNormal"/>
    <w:tblPr>
      <w:tblStyleRowBandSize w:val="1"/>
      <w:tblStyleColBandSize w:val="1"/>
      <w:tblCellMar>
        <w:top w:w="100.0" w:type="dxa"/>
        <w:left w:w="100.0" w:type="dxa"/>
        <w:bottom w:w="100.0" w:type="dxa"/>
        <w:right w:w="100.0" w:type="dxa"/>
      </w:tblCellMar>
    </w:tblPr>
  </w:style>
  <w:style w:type="table" w:styleId="Table235">
    <w:basedOn w:val="TableNormal"/>
    <w:tblPr>
      <w:tblStyleRowBandSize w:val="1"/>
      <w:tblStyleColBandSize w:val="1"/>
      <w:tblCellMar>
        <w:top w:w="100.0" w:type="dxa"/>
        <w:left w:w="100.0" w:type="dxa"/>
        <w:bottom w:w="100.0" w:type="dxa"/>
        <w:right w:w="100.0" w:type="dxa"/>
      </w:tblCellMar>
    </w:tblPr>
  </w:style>
  <w:style w:type="table" w:styleId="Table236">
    <w:basedOn w:val="TableNormal"/>
    <w:tblPr>
      <w:tblStyleRowBandSize w:val="1"/>
      <w:tblStyleColBandSize w:val="1"/>
      <w:tblCellMar>
        <w:top w:w="100.0" w:type="dxa"/>
        <w:left w:w="100.0" w:type="dxa"/>
        <w:bottom w:w="100.0" w:type="dxa"/>
        <w:right w:w="100.0" w:type="dxa"/>
      </w:tblCellMar>
    </w:tblPr>
  </w:style>
  <w:style w:type="table" w:styleId="Table237">
    <w:basedOn w:val="TableNormal"/>
    <w:tblPr>
      <w:tblStyleRowBandSize w:val="1"/>
      <w:tblStyleColBandSize w:val="1"/>
      <w:tblCellMar>
        <w:top w:w="100.0" w:type="dxa"/>
        <w:left w:w="100.0" w:type="dxa"/>
        <w:bottom w:w="100.0" w:type="dxa"/>
        <w:right w:w="100.0" w:type="dxa"/>
      </w:tblCellMar>
    </w:tblPr>
  </w:style>
  <w:style w:type="table" w:styleId="Table238">
    <w:basedOn w:val="TableNormal"/>
    <w:tblPr>
      <w:tblStyleRowBandSize w:val="1"/>
      <w:tblStyleColBandSize w:val="1"/>
      <w:tblCellMar>
        <w:top w:w="100.0" w:type="dxa"/>
        <w:left w:w="100.0" w:type="dxa"/>
        <w:bottom w:w="100.0" w:type="dxa"/>
        <w:right w:w="100.0" w:type="dxa"/>
      </w:tblCellMar>
    </w:tblPr>
  </w:style>
  <w:style w:type="table" w:styleId="Table239">
    <w:basedOn w:val="TableNormal"/>
    <w:tblPr>
      <w:tblStyleRowBandSize w:val="1"/>
      <w:tblStyleColBandSize w:val="1"/>
      <w:tblCellMar>
        <w:top w:w="100.0" w:type="dxa"/>
        <w:left w:w="100.0" w:type="dxa"/>
        <w:bottom w:w="100.0" w:type="dxa"/>
        <w:right w:w="100.0" w:type="dxa"/>
      </w:tblCellMar>
    </w:tblPr>
  </w:style>
  <w:style w:type="table" w:styleId="Table240">
    <w:basedOn w:val="TableNormal"/>
    <w:tblPr>
      <w:tblStyleRowBandSize w:val="1"/>
      <w:tblStyleColBandSize w:val="1"/>
      <w:tblCellMar>
        <w:top w:w="100.0" w:type="dxa"/>
        <w:left w:w="100.0" w:type="dxa"/>
        <w:bottom w:w="100.0" w:type="dxa"/>
        <w:right w:w="100.0" w:type="dxa"/>
      </w:tblCellMar>
    </w:tblPr>
  </w:style>
  <w:style w:type="table" w:styleId="Table241">
    <w:basedOn w:val="TableNormal"/>
    <w:tblPr>
      <w:tblStyleRowBandSize w:val="1"/>
      <w:tblStyleColBandSize w:val="1"/>
      <w:tblCellMar>
        <w:top w:w="100.0" w:type="dxa"/>
        <w:left w:w="100.0" w:type="dxa"/>
        <w:bottom w:w="100.0" w:type="dxa"/>
        <w:right w:w="100.0" w:type="dxa"/>
      </w:tblCellMar>
    </w:tblPr>
  </w:style>
  <w:style w:type="table" w:styleId="Table242">
    <w:basedOn w:val="TableNormal"/>
    <w:tblPr>
      <w:tblStyleRowBandSize w:val="1"/>
      <w:tblStyleColBandSize w:val="1"/>
      <w:tblCellMar>
        <w:top w:w="100.0" w:type="dxa"/>
        <w:left w:w="100.0" w:type="dxa"/>
        <w:bottom w:w="100.0" w:type="dxa"/>
        <w:right w:w="100.0" w:type="dxa"/>
      </w:tblCellMar>
    </w:tblPr>
  </w:style>
  <w:style w:type="table" w:styleId="Table243">
    <w:basedOn w:val="TableNormal"/>
    <w:tblPr>
      <w:tblStyleRowBandSize w:val="1"/>
      <w:tblStyleColBandSize w:val="1"/>
      <w:tblCellMar>
        <w:top w:w="100.0" w:type="dxa"/>
        <w:left w:w="100.0" w:type="dxa"/>
        <w:bottom w:w="100.0" w:type="dxa"/>
        <w:right w:w="100.0" w:type="dxa"/>
      </w:tblCellMar>
    </w:tblPr>
  </w:style>
  <w:style w:type="table" w:styleId="Table244">
    <w:basedOn w:val="TableNormal"/>
    <w:tblPr>
      <w:tblStyleRowBandSize w:val="1"/>
      <w:tblStyleColBandSize w:val="1"/>
      <w:tblCellMar>
        <w:top w:w="100.0" w:type="dxa"/>
        <w:left w:w="100.0" w:type="dxa"/>
        <w:bottom w:w="100.0" w:type="dxa"/>
        <w:right w:w="100.0" w:type="dxa"/>
      </w:tblCellMar>
    </w:tblPr>
  </w:style>
  <w:style w:type="table" w:styleId="Table245">
    <w:basedOn w:val="TableNormal"/>
    <w:tblPr>
      <w:tblStyleRowBandSize w:val="1"/>
      <w:tblStyleColBandSize w:val="1"/>
      <w:tblCellMar>
        <w:top w:w="100.0" w:type="dxa"/>
        <w:left w:w="100.0" w:type="dxa"/>
        <w:bottom w:w="100.0" w:type="dxa"/>
        <w:right w:w="100.0" w:type="dxa"/>
      </w:tblCellMar>
    </w:tblPr>
  </w:style>
  <w:style w:type="table" w:styleId="Table246">
    <w:basedOn w:val="TableNormal"/>
    <w:tblPr>
      <w:tblStyleRowBandSize w:val="1"/>
      <w:tblStyleColBandSize w:val="1"/>
      <w:tblCellMar>
        <w:top w:w="100.0" w:type="dxa"/>
        <w:left w:w="100.0" w:type="dxa"/>
        <w:bottom w:w="100.0" w:type="dxa"/>
        <w:right w:w="100.0" w:type="dxa"/>
      </w:tblCellMar>
    </w:tblPr>
  </w:style>
  <w:style w:type="table" w:styleId="Table247">
    <w:basedOn w:val="TableNormal"/>
    <w:tblPr>
      <w:tblStyleRowBandSize w:val="1"/>
      <w:tblStyleColBandSize w:val="1"/>
      <w:tblCellMar>
        <w:top w:w="100.0" w:type="dxa"/>
        <w:left w:w="100.0" w:type="dxa"/>
        <w:bottom w:w="100.0" w:type="dxa"/>
        <w:right w:w="100.0" w:type="dxa"/>
      </w:tblCellMar>
    </w:tblPr>
  </w:style>
  <w:style w:type="table" w:styleId="Table248">
    <w:basedOn w:val="TableNormal"/>
    <w:tblPr>
      <w:tblStyleRowBandSize w:val="1"/>
      <w:tblStyleColBandSize w:val="1"/>
      <w:tblCellMar>
        <w:top w:w="100.0" w:type="dxa"/>
        <w:left w:w="100.0" w:type="dxa"/>
        <w:bottom w:w="100.0" w:type="dxa"/>
        <w:right w:w="100.0" w:type="dxa"/>
      </w:tblCellMar>
    </w:tblPr>
  </w:style>
  <w:style w:type="table" w:styleId="Table249">
    <w:basedOn w:val="TableNormal"/>
    <w:tblPr>
      <w:tblStyleRowBandSize w:val="1"/>
      <w:tblStyleColBandSize w:val="1"/>
      <w:tblCellMar>
        <w:top w:w="100.0" w:type="dxa"/>
        <w:left w:w="100.0" w:type="dxa"/>
        <w:bottom w:w="100.0" w:type="dxa"/>
        <w:right w:w="100.0" w:type="dxa"/>
      </w:tblCellMar>
    </w:tblPr>
  </w:style>
  <w:style w:type="table" w:styleId="Table250">
    <w:basedOn w:val="TableNormal"/>
    <w:tblPr>
      <w:tblStyleRowBandSize w:val="1"/>
      <w:tblStyleColBandSize w:val="1"/>
      <w:tblCellMar>
        <w:top w:w="100.0" w:type="dxa"/>
        <w:left w:w="100.0" w:type="dxa"/>
        <w:bottom w:w="100.0" w:type="dxa"/>
        <w:right w:w="100.0" w:type="dxa"/>
      </w:tblCellMar>
    </w:tblPr>
  </w:style>
  <w:style w:type="table" w:styleId="Table251">
    <w:basedOn w:val="TableNormal"/>
    <w:tblPr>
      <w:tblStyleRowBandSize w:val="1"/>
      <w:tblStyleColBandSize w:val="1"/>
      <w:tblCellMar>
        <w:top w:w="100.0" w:type="dxa"/>
        <w:left w:w="100.0" w:type="dxa"/>
        <w:bottom w:w="100.0" w:type="dxa"/>
        <w:right w:w="100.0" w:type="dxa"/>
      </w:tblCellMar>
    </w:tblPr>
  </w:style>
  <w:style w:type="table" w:styleId="Table252">
    <w:basedOn w:val="TableNormal"/>
    <w:tblPr>
      <w:tblStyleRowBandSize w:val="1"/>
      <w:tblStyleColBandSize w:val="1"/>
      <w:tblCellMar>
        <w:top w:w="100.0" w:type="dxa"/>
        <w:left w:w="100.0" w:type="dxa"/>
        <w:bottom w:w="100.0" w:type="dxa"/>
        <w:right w:w="100.0" w:type="dxa"/>
      </w:tblCellMar>
    </w:tblPr>
  </w:style>
  <w:style w:type="table" w:styleId="Table253">
    <w:basedOn w:val="TableNormal"/>
    <w:tblPr>
      <w:tblStyleRowBandSize w:val="1"/>
      <w:tblStyleColBandSize w:val="1"/>
      <w:tblCellMar>
        <w:top w:w="100.0" w:type="dxa"/>
        <w:left w:w="100.0" w:type="dxa"/>
        <w:bottom w:w="100.0" w:type="dxa"/>
        <w:right w:w="100.0" w:type="dxa"/>
      </w:tblCellMar>
    </w:tblPr>
  </w:style>
  <w:style w:type="table" w:styleId="Table254">
    <w:basedOn w:val="TableNormal"/>
    <w:tblPr>
      <w:tblStyleRowBandSize w:val="1"/>
      <w:tblStyleColBandSize w:val="1"/>
      <w:tblCellMar>
        <w:top w:w="100.0" w:type="dxa"/>
        <w:left w:w="100.0" w:type="dxa"/>
        <w:bottom w:w="100.0" w:type="dxa"/>
        <w:right w:w="100.0" w:type="dxa"/>
      </w:tblCellMar>
    </w:tblPr>
  </w:style>
  <w:style w:type="table" w:styleId="Table255">
    <w:basedOn w:val="TableNormal"/>
    <w:tblPr>
      <w:tblStyleRowBandSize w:val="1"/>
      <w:tblStyleColBandSize w:val="1"/>
      <w:tblCellMar>
        <w:top w:w="100.0" w:type="dxa"/>
        <w:left w:w="100.0" w:type="dxa"/>
        <w:bottom w:w="100.0" w:type="dxa"/>
        <w:right w:w="100.0" w:type="dxa"/>
      </w:tblCellMar>
    </w:tblPr>
  </w:style>
  <w:style w:type="table" w:styleId="Table256">
    <w:basedOn w:val="TableNormal"/>
    <w:tblPr>
      <w:tblStyleRowBandSize w:val="1"/>
      <w:tblStyleColBandSize w:val="1"/>
      <w:tblCellMar>
        <w:top w:w="100.0" w:type="dxa"/>
        <w:left w:w="100.0" w:type="dxa"/>
        <w:bottom w:w="100.0" w:type="dxa"/>
        <w:right w:w="100.0" w:type="dxa"/>
      </w:tblCellMar>
    </w:tblPr>
  </w:style>
  <w:style w:type="table" w:styleId="Table257">
    <w:basedOn w:val="TableNormal"/>
    <w:tblPr>
      <w:tblStyleRowBandSize w:val="1"/>
      <w:tblStyleColBandSize w:val="1"/>
      <w:tblCellMar>
        <w:top w:w="100.0" w:type="dxa"/>
        <w:left w:w="100.0" w:type="dxa"/>
        <w:bottom w:w="100.0" w:type="dxa"/>
        <w:right w:w="100.0" w:type="dxa"/>
      </w:tblCellMar>
    </w:tblPr>
  </w:style>
  <w:style w:type="table" w:styleId="Table258">
    <w:basedOn w:val="TableNormal"/>
    <w:tblPr>
      <w:tblStyleRowBandSize w:val="1"/>
      <w:tblStyleColBandSize w:val="1"/>
      <w:tblCellMar>
        <w:top w:w="100.0" w:type="dxa"/>
        <w:left w:w="100.0" w:type="dxa"/>
        <w:bottom w:w="100.0" w:type="dxa"/>
        <w:right w:w="100.0" w:type="dxa"/>
      </w:tblCellMar>
    </w:tblPr>
  </w:style>
  <w:style w:type="table" w:styleId="Table259">
    <w:basedOn w:val="TableNormal"/>
    <w:tblPr>
      <w:tblStyleRowBandSize w:val="1"/>
      <w:tblStyleColBandSize w:val="1"/>
      <w:tblCellMar>
        <w:top w:w="100.0" w:type="dxa"/>
        <w:left w:w="100.0" w:type="dxa"/>
        <w:bottom w:w="100.0" w:type="dxa"/>
        <w:right w:w="100.0" w:type="dxa"/>
      </w:tblCellMar>
    </w:tblPr>
  </w:style>
  <w:style w:type="table" w:styleId="Table260">
    <w:basedOn w:val="TableNormal"/>
    <w:tblPr>
      <w:tblStyleRowBandSize w:val="1"/>
      <w:tblStyleColBandSize w:val="1"/>
      <w:tblCellMar>
        <w:top w:w="100.0" w:type="dxa"/>
        <w:left w:w="100.0" w:type="dxa"/>
        <w:bottom w:w="100.0" w:type="dxa"/>
        <w:right w:w="100.0" w:type="dxa"/>
      </w:tblCellMar>
    </w:tblPr>
  </w:style>
  <w:style w:type="table" w:styleId="Table261">
    <w:basedOn w:val="TableNormal"/>
    <w:tblPr>
      <w:tblStyleRowBandSize w:val="1"/>
      <w:tblStyleColBandSize w:val="1"/>
      <w:tblCellMar>
        <w:top w:w="100.0" w:type="dxa"/>
        <w:left w:w="100.0" w:type="dxa"/>
        <w:bottom w:w="100.0" w:type="dxa"/>
        <w:right w:w="100.0" w:type="dxa"/>
      </w:tblCellMar>
    </w:tblPr>
  </w:style>
  <w:style w:type="table" w:styleId="Table262">
    <w:basedOn w:val="TableNormal"/>
    <w:tblPr>
      <w:tblStyleRowBandSize w:val="1"/>
      <w:tblStyleColBandSize w:val="1"/>
      <w:tblCellMar>
        <w:top w:w="100.0" w:type="dxa"/>
        <w:left w:w="100.0" w:type="dxa"/>
        <w:bottom w:w="100.0" w:type="dxa"/>
        <w:right w:w="100.0" w:type="dxa"/>
      </w:tblCellMar>
    </w:tblPr>
  </w:style>
  <w:style w:type="table" w:styleId="Table263">
    <w:basedOn w:val="TableNormal"/>
    <w:tblPr>
      <w:tblStyleRowBandSize w:val="1"/>
      <w:tblStyleColBandSize w:val="1"/>
      <w:tblCellMar>
        <w:top w:w="100.0" w:type="dxa"/>
        <w:left w:w="100.0" w:type="dxa"/>
        <w:bottom w:w="100.0" w:type="dxa"/>
        <w:right w:w="100.0" w:type="dxa"/>
      </w:tblCellMar>
    </w:tblPr>
  </w:style>
  <w:style w:type="table" w:styleId="Table264">
    <w:basedOn w:val="TableNormal"/>
    <w:tblPr>
      <w:tblStyleRowBandSize w:val="1"/>
      <w:tblStyleColBandSize w:val="1"/>
      <w:tblCellMar>
        <w:top w:w="100.0" w:type="dxa"/>
        <w:left w:w="100.0" w:type="dxa"/>
        <w:bottom w:w="100.0" w:type="dxa"/>
        <w:right w:w="100.0" w:type="dxa"/>
      </w:tblCellMar>
    </w:tblPr>
  </w:style>
  <w:style w:type="table" w:styleId="Table265">
    <w:basedOn w:val="TableNormal"/>
    <w:tblPr>
      <w:tblStyleRowBandSize w:val="1"/>
      <w:tblStyleColBandSize w:val="1"/>
      <w:tblCellMar>
        <w:top w:w="100.0" w:type="dxa"/>
        <w:left w:w="100.0" w:type="dxa"/>
        <w:bottom w:w="100.0" w:type="dxa"/>
        <w:right w:w="100.0" w:type="dxa"/>
      </w:tblCellMar>
    </w:tblPr>
  </w:style>
  <w:style w:type="table" w:styleId="Table266">
    <w:basedOn w:val="TableNormal"/>
    <w:tblPr>
      <w:tblStyleRowBandSize w:val="1"/>
      <w:tblStyleColBandSize w:val="1"/>
      <w:tblCellMar>
        <w:top w:w="100.0" w:type="dxa"/>
        <w:left w:w="100.0" w:type="dxa"/>
        <w:bottom w:w="100.0" w:type="dxa"/>
        <w:right w:w="100.0" w:type="dxa"/>
      </w:tblCellMar>
    </w:tblPr>
  </w:style>
  <w:style w:type="table" w:styleId="Table267">
    <w:basedOn w:val="TableNormal"/>
    <w:tblPr>
      <w:tblStyleRowBandSize w:val="1"/>
      <w:tblStyleColBandSize w:val="1"/>
      <w:tblCellMar>
        <w:top w:w="100.0" w:type="dxa"/>
        <w:left w:w="100.0" w:type="dxa"/>
        <w:bottom w:w="100.0" w:type="dxa"/>
        <w:right w:w="100.0" w:type="dxa"/>
      </w:tblCellMar>
    </w:tblPr>
  </w:style>
  <w:style w:type="table" w:styleId="Table268">
    <w:basedOn w:val="TableNormal"/>
    <w:tblPr>
      <w:tblStyleRowBandSize w:val="1"/>
      <w:tblStyleColBandSize w:val="1"/>
      <w:tblCellMar>
        <w:top w:w="100.0" w:type="dxa"/>
        <w:left w:w="100.0" w:type="dxa"/>
        <w:bottom w:w="100.0" w:type="dxa"/>
        <w:right w:w="100.0" w:type="dxa"/>
      </w:tblCellMar>
    </w:tblPr>
  </w:style>
  <w:style w:type="table" w:styleId="Table269">
    <w:basedOn w:val="TableNormal"/>
    <w:tblPr>
      <w:tblStyleRowBandSize w:val="1"/>
      <w:tblStyleColBandSize w:val="1"/>
      <w:tblCellMar>
        <w:top w:w="100.0" w:type="dxa"/>
        <w:left w:w="100.0" w:type="dxa"/>
        <w:bottom w:w="100.0" w:type="dxa"/>
        <w:right w:w="100.0" w:type="dxa"/>
      </w:tblCellMar>
    </w:tblPr>
  </w:style>
  <w:style w:type="table" w:styleId="Table270">
    <w:basedOn w:val="TableNormal"/>
    <w:tblPr>
      <w:tblStyleRowBandSize w:val="1"/>
      <w:tblStyleColBandSize w:val="1"/>
      <w:tblCellMar>
        <w:top w:w="100.0" w:type="dxa"/>
        <w:left w:w="100.0" w:type="dxa"/>
        <w:bottom w:w="100.0" w:type="dxa"/>
        <w:right w:w="100.0" w:type="dxa"/>
      </w:tblCellMar>
    </w:tblPr>
  </w:style>
  <w:style w:type="table" w:styleId="Table271">
    <w:basedOn w:val="TableNormal"/>
    <w:tblPr>
      <w:tblStyleRowBandSize w:val="1"/>
      <w:tblStyleColBandSize w:val="1"/>
      <w:tblCellMar>
        <w:top w:w="100.0" w:type="dxa"/>
        <w:left w:w="100.0" w:type="dxa"/>
        <w:bottom w:w="100.0" w:type="dxa"/>
        <w:right w:w="100.0" w:type="dxa"/>
      </w:tblCellMar>
    </w:tblPr>
  </w:style>
  <w:style w:type="table" w:styleId="Table272">
    <w:basedOn w:val="TableNormal"/>
    <w:tblPr>
      <w:tblStyleRowBandSize w:val="1"/>
      <w:tblStyleColBandSize w:val="1"/>
      <w:tblCellMar>
        <w:top w:w="100.0" w:type="dxa"/>
        <w:left w:w="100.0" w:type="dxa"/>
        <w:bottom w:w="100.0" w:type="dxa"/>
        <w:right w:w="100.0" w:type="dxa"/>
      </w:tblCellMar>
    </w:tblPr>
  </w:style>
  <w:style w:type="table" w:styleId="Table273">
    <w:basedOn w:val="TableNormal"/>
    <w:tblPr>
      <w:tblStyleRowBandSize w:val="1"/>
      <w:tblStyleColBandSize w:val="1"/>
      <w:tblCellMar>
        <w:top w:w="100.0" w:type="dxa"/>
        <w:left w:w="100.0" w:type="dxa"/>
        <w:bottom w:w="100.0" w:type="dxa"/>
        <w:right w:w="100.0" w:type="dxa"/>
      </w:tblCellMar>
    </w:tblPr>
  </w:style>
  <w:style w:type="table" w:styleId="Table274">
    <w:basedOn w:val="TableNormal"/>
    <w:tblPr>
      <w:tblStyleRowBandSize w:val="1"/>
      <w:tblStyleColBandSize w:val="1"/>
      <w:tblCellMar>
        <w:top w:w="100.0" w:type="dxa"/>
        <w:left w:w="100.0" w:type="dxa"/>
        <w:bottom w:w="100.0" w:type="dxa"/>
        <w:right w:w="100.0" w:type="dxa"/>
      </w:tblCellMar>
    </w:tblPr>
  </w:style>
  <w:style w:type="table" w:styleId="Table275">
    <w:basedOn w:val="TableNormal"/>
    <w:tblPr>
      <w:tblStyleRowBandSize w:val="1"/>
      <w:tblStyleColBandSize w:val="1"/>
      <w:tblCellMar>
        <w:top w:w="100.0" w:type="dxa"/>
        <w:left w:w="100.0" w:type="dxa"/>
        <w:bottom w:w="100.0" w:type="dxa"/>
        <w:right w:w="100.0" w:type="dxa"/>
      </w:tblCellMar>
    </w:tblPr>
  </w:style>
  <w:style w:type="table" w:styleId="Table276">
    <w:basedOn w:val="TableNormal"/>
    <w:tblPr>
      <w:tblStyleRowBandSize w:val="1"/>
      <w:tblStyleColBandSize w:val="1"/>
      <w:tblCellMar>
        <w:top w:w="100.0" w:type="dxa"/>
        <w:left w:w="100.0" w:type="dxa"/>
        <w:bottom w:w="100.0" w:type="dxa"/>
        <w:right w:w="100.0" w:type="dxa"/>
      </w:tblCellMar>
    </w:tblPr>
  </w:style>
  <w:style w:type="table" w:styleId="Table277">
    <w:basedOn w:val="TableNormal"/>
    <w:tblPr>
      <w:tblStyleRowBandSize w:val="1"/>
      <w:tblStyleColBandSize w:val="1"/>
      <w:tblCellMar>
        <w:top w:w="100.0" w:type="dxa"/>
        <w:left w:w="100.0" w:type="dxa"/>
        <w:bottom w:w="100.0" w:type="dxa"/>
        <w:right w:w="100.0" w:type="dxa"/>
      </w:tblCellMar>
    </w:tblPr>
  </w:style>
  <w:style w:type="table" w:styleId="Table278">
    <w:basedOn w:val="TableNormal"/>
    <w:tblPr>
      <w:tblStyleRowBandSize w:val="1"/>
      <w:tblStyleColBandSize w:val="1"/>
      <w:tblCellMar>
        <w:top w:w="100.0" w:type="dxa"/>
        <w:left w:w="100.0" w:type="dxa"/>
        <w:bottom w:w="100.0" w:type="dxa"/>
        <w:right w:w="100.0" w:type="dxa"/>
      </w:tblCellMar>
    </w:tblPr>
  </w:style>
  <w:style w:type="table" w:styleId="Table279">
    <w:basedOn w:val="TableNormal"/>
    <w:tblPr>
      <w:tblStyleRowBandSize w:val="1"/>
      <w:tblStyleColBandSize w:val="1"/>
      <w:tblCellMar>
        <w:top w:w="100.0" w:type="dxa"/>
        <w:left w:w="100.0" w:type="dxa"/>
        <w:bottom w:w="100.0" w:type="dxa"/>
        <w:right w:w="100.0" w:type="dxa"/>
      </w:tblCellMar>
    </w:tblPr>
  </w:style>
  <w:style w:type="table" w:styleId="Table280">
    <w:basedOn w:val="TableNormal"/>
    <w:tblPr>
      <w:tblStyleRowBandSize w:val="1"/>
      <w:tblStyleColBandSize w:val="1"/>
      <w:tblCellMar>
        <w:top w:w="100.0" w:type="dxa"/>
        <w:left w:w="100.0" w:type="dxa"/>
        <w:bottom w:w="100.0" w:type="dxa"/>
        <w:right w:w="100.0" w:type="dxa"/>
      </w:tblCellMar>
    </w:tblPr>
  </w:style>
  <w:style w:type="table" w:styleId="Table281">
    <w:basedOn w:val="TableNormal"/>
    <w:tblPr>
      <w:tblStyleRowBandSize w:val="1"/>
      <w:tblStyleColBandSize w:val="1"/>
      <w:tblCellMar>
        <w:top w:w="100.0" w:type="dxa"/>
        <w:left w:w="100.0" w:type="dxa"/>
        <w:bottom w:w="100.0" w:type="dxa"/>
        <w:right w:w="100.0" w:type="dxa"/>
      </w:tblCellMar>
    </w:tblPr>
  </w:style>
  <w:style w:type="table" w:styleId="Table282">
    <w:basedOn w:val="TableNormal"/>
    <w:tblPr>
      <w:tblStyleRowBandSize w:val="1"/>
      <w:tblStyleColBandSize w:val="1"/>
      <w:tblCellMar>
        <w:top w:w="100.0" w:type="dxa"/>
        <w:left w:w="100.0" w:type="dxa"/>
        <w:bottom w:w="100.0" w:type="dxa"/>
        <w:right w:w="100.0" w:type="dxa"/>
      </w:tblCellMar>
    </w:tblPr>
  </w:style>
  <w:style w:type="table" w:styleId="Table283">
    <w:basedOn w:val="TableNormal"/>
    <w:tblPr>
      <w:tblStyleRowBandSize w:val="1"/>
      <w:tblStyleColBandSize w:val="1"/>
      <w:tblCellMar>
        <w:top w:w="100.0" w:type="dxa"/>
        <w:left w:w="100.0" w:type="dxa"/>
        <w:bottom w:w="100.0" w:type="dxa"/>
        <w:right w:w="100.0" w:type="dxa"/>
      </w:tblCellMar>
    </w:tblPr>
  </w:style>
  <w:style w:type="table" w:styleId="Table284">
    <w:basedOn w:val="TableNormal"/>
    <w:tblPr>
      <w:tblStyleRowBandSize w:val="1"/>
      <w:tblStyleColBandSize w:val="1"/>
      <w:tblCellMar>
        <w:top w:w="100.0" w:type="dxa"/>
        <w:left w:w="100.0" w:type="dxa"/>
        <w:bottom w:w="100.0" w:type="dxa"/>
        <w:right w:w="100.0" w:type="dxa"/>
      </w:tblCellMar>
    </w:tblPr>
  </w:style>
  <w:style w:type="table" w:styleId="Table285">
    <w:basedOn w:val="TableNormal"/>
    <w:tblPr>
      <w:tblStyleRowBandSize w:val="1"/>
      <w:tblStyleColBandSize w:val="1"/>
      <w:tblCellMar>
        <w:top w:w="100.0" w:type="dxa"/>
        <w:left w:w="100.0" w:type="dxa"/>
        <w:bottom w:w="100.0" w:type="dxa"/>
        <w:right w:w="100.0" w:type="dxa"/>
      </w:tblCellMar>
    </w:tblPr>
  </w:style>
  <w:style w:type="table" w:styleId="Table286">
    <w:basedOn w:val="TableNormal"/>
    <w:tblPr>
      <w:tblStyleRowBandSize w:val="1"/>
      <w:tblStyleColBandSize w:val="1"/>
      <w:tblCellMar>
        <w:top w:w="100.0" w:type="dxa"/>
        <w:left w:w="100.0" w:type="dxa"/>
        <w:bottom w:w="100.0" w:type="dxa"/>
        <w:right w:w="100.0" w:type="dxa"/>
      </w:tblCellMar>
    </w:tblPr>
  </w:style>
  <w:style w:type="table" w:styleId="Table287">
    <w:basedOn w:val="TableNormal"/>
    <w:tblPr>
      <w:tblStyleRowBandSize w:val="1"/>
      <w:tblStyleColBandSize w:val="1"/>
      <w:tblCellMar>
        <w:top w:w="100.0" w:type="dxa"/>
        <w:left w:w="100.0" w:type="dxa"/>
        <w:bottom w:w="100.0" w:type="dxa"/>
        <w:right w:w="100.0" w:type="dxa"/>
      </w:tblCellMar>
    </w:tblPr>
  </w:style>
  <w:style w:type="table" w:styleId="Table288">
    <w:basedOn w:val="TableNormal"/>
    <w:tblPr>
      <w:tblStyleRowBandSize w:val="1"/>
      <w:tblStyleColBandSize w:val="1"/>
      <w:tblCellMar>
        <w:top w:w="100.0" w:type="dxa"/>
        <w:left w:w="100.0" w:type="dxa"/>
        <w:bottom w:w="100.0" w:type="dxa"/>
        <w:right w:w="100.0" w:type="dxa"/>
      </w:tblCellMar>
    </w:tblPr>
  </w:style>
  <w:style w:type="table" w:styleId="Table289">
    <w:basedOn w:val="TableNormal"/>
    <w:tblPr>
      <w:tblStyleRowBandSize w:val="1"/>
      <w:tblStyleColBandSize w:val="1"/>
      <w:tblCellMar>
        <w:top w:w="100.0" w:type="dxa"/>
        <w:left w:w="100.0" w:type="dxa"/>
        <w:bottom w:w="100.0" w:type="dxa"/>
        <w:right w:w="100.0" w:type="dxa"/>
      </w:tblCellMar>
    </w:tblPr>
  </w:style>
  <w:style w:type="table" w:styleId="Table290">
    <w:basedOn w:val="TableNormal"/>
    <w:tblPr>
      <w:tblStyleRowBandSize w:val="1"/>
      <w:tblStyleColBandSize w:val="1"/>
      <w:tblCellMar>
        <w:top w:w="100.0" w:type="dxa"/>
        <w:left w:w="100.0" w:type="dxa"/>
        <w:bottom w:w="100.0" w:type="dxa"/>
        <w:right w:w="100.0" w:type="dxa"/>
      </w:tblCellMar>
    </w:tblPr>
  </w:style>
  <w:style w:type="table" w:styleId="Table291">
    <w:basedOn w:val="TableNormal"/>
    <w:tblPr>
      <w:tblStyleRowBandSize w:val="1"/>
      <w:tblStyleColBandSize w:val="1"/>
      <w:tblCellMar>
        <w:top w:w="100.0" w:type="dxa"/>
        <w:left w:w="100.0" w:type="dxa"/>
        <w:bottom w:w="100.0" w:type="dxa"/>
        <w:right w:w="100.0" w:type="dxa"/>
      </w:tblCellMar>
    </w:tblPr>
  </w:style>
  <w:style w:type="table" w:styleId="Table292">
    <w:basedOn w:val="TableNormal"/>
    <w:tblPr>
      <w:tblStyleRowBandSize w:val="1"/>
      <w:tblStyleColBandSize w:val="1"/>
      <w:tblCellMar>
        <w:top w:w="100.0" w:type="dxa"/>
        <w:left w:w="100.0" w:type="dxa"/>
        <w:bottom w:w="100.0" w:type="dxa"/>
        <w:right w:w="100.0" w:type="dxa"/>
      </w:tblCellMar>
    </w:tblPr>
  </w:style>
  <w:style w:type="table" w:styleId="Table293">
    <w:basedOn w:val="TableNormal"/>
    <w:tblPr>
      <w:tblStyleRowBandSize w:val="1"/>
      <w:tblStyleColBandSize w:val="1"/>
      <w:tblCellMar>
        <w:top w:w="100.0" w:type="dxa"/>
        <w:left w:w="100.0" w:type="dxa"/>
        <w:bottom w:w="100.0" w:type="dxa"/>
        <w:right w:w="100.0" w:type="dxa"/>
      </w:tblCellMar>
    </w:tblPr>
  </w:style>
  <w:style w:type="table" w:styleId="Table294">
    <w:basedOn w:val="TableNormal"/>
    <w:tblPr>
      <w:tblStyleRowBandSize w:val="1"/>
      <w:tblStyleColBandSize w:val="1"/>
      <w:tblCellMar>
        <w:top w:w="100.0" w:type="dxa"/>
        <w:left w:w="100.0" w:type="dxa"/>
        <w:bottom w:w="100.0" w:type="dxa"/>
        <w:right w:w="100.0" w:type="dxa"/>
      </w:tblCellMar>
    </w:tblPr>
  </w:style>
  <w:style w:type="table" w:styleId="Table295">
    <w:basedOn w:val="TableNormal"/>
    <w:tblPr>
      <w:tblStyleRowBandSize w:val="1"/>
      <w:tblStyleColBandSize w:val="1"/>
      <w:tblCellMar>
        <w:top w:w="100.0" w:type="dxa"/>
        <w:left w:w="100.0" w:type="dxa"/>
        <w:bottom w:w="100.0" w:type="dxa"/>
        <w:right w:w="100.0" w:type="dxa"/>
      </w:tblCellMar>
    </w:tblPr>
  </w:style>
  <w:style w:type="table" w:styleId="Table296">
    <w:basedOn w:val="TableNormal"/>
    <w:tblPr>
      <w:tblStyleRowBandSize w:val="1"/>
      <w:tblStyleColBandSize w:val="1"/>
      <w:tblCellMar>
        <w:top w:w="100.0" w:type="dxa"/>
        <w:left w:w="100.0" w:type="dxa"/>
        <w:bottom w:w="100.0" w:type="dxa"/>
        <w:right w:w="100.0" w:type="dxa"/>
      </w:tblCellMar>
    </w:tblPr>
  </w:style>
  <w:style w:type="table" w:styleId="Table297">
    <w:basedOn w:val="TableNormal"/>
    <w:tblPr>
      <w:tblStyleRowBandSize w:val="1"/>
      <w:tblStyleColBandSize w:val="1"/>
      <w:tblCellMar>
        <w:top w:w="100.0" w:type="dxa"/>
        <w:left w:w="100.0" w:type="dxa"/>
        <w:bottom w:w="100.0" w:type="dxa"/>
        <w:right w:w="100.0" w:type="dxa"/>
      </w:tblCellMar>
    </w:tblPr>
  </w:style>
  <w:style w:type="table" w:styleId="Table298">
    <w:basedOn w:val="TableNormal"/>
    <w:tblPr>
      <w:tblStyleRowBandSize w:val="1"/>
      <w:tblStyleColBandSize w:val="1"/>
      <w:tblCellMar>
        <w:top w:w="100.0" w:type="dxa"/>
        <w:left w:w="100.0" w:type="dxa"/>
        <w:bottom w:w="100.0" w:type="dxa"/>
        <w:right w:w="100.0" w:type="dxa"/>
      </w:tblCellMar>
    </w:tblPr>
  </w:style>
  <w:style w:type="table" w:styleId="Table299">
    <w:basedOn w:val="TableNormal"/>
    <w:tblPr>
      <w:tblStyleRowBandSize w:val="1"/>
      <w:tblStyleColBandSize w:val="1"/>
      <w:tblCellMar>
        <w:top w:w="100.0" w:type="dxa"/>
        <w:left w:w="100.0" w:type="dxa"/>
        <w:bottom w:w="100.0" w:type="dxa"/>
        <w:right w:w="100.0" w:type="dxa"/>
      </w:tblCellMar>
    </w:tblPr>
  </w:style>
  <w:style w:type="table" w:styleId="Table300">
    <w:basedOn w:val="TableNormal"/>
    <w:tblPr>
      <w:tblStyleRowBandSize w:val="1"/>
      <w:tblStyleColBandSize w:val="1"/>
      <w:tblCellMar>
        <w:top w:w="100.0" w:type="dxa"/>
        <w:left w:w="100.0" w:type="dxa"/>
        <w:bottom w:w="100.0" w:type="dxa"/>
        <w:right w:w="100.0" w:type="dxa"/>
      </w:tblCellMar>
    </w:tblPr>
  </w:style>
  <w:style w:type="table" w:styleId="Table301">
    <w:basedOn w:val="TableNormal"/>
    <w:tblPr>
      <w:tblStyleRowBandSize w:val="1"/>
      <w:tblStyleColBandSize w:val="1"/>
      <w:tblCellMar>
        <w:top w:w="100.0" w:type="dxa"/>
        <w:left w:w="100.0" w:type="dxa"/>
        <w:bottom w:w="100.0" w:type="dxa"/>
        <w:right w:w="100.0" w:type="dxa"/>
      </w:tblCellMar>
    </w:tblPr>
  </w:style>
  <w:style w:type="table" w:styleId="Table302">
    <w:basedOn w:val="TableNormal"/>
    <w:tblPr>
      <w:tblStyleRowBandSize w:val="1"/>
      <w:tblStyleColBandSize w:val="1"/>
      <w:tblCellMar>
        <w:top w:w="100.0" w:type="dxa"/>
        <w:left w:w="100.0" w:type="dxa"/>
        <w:bottom w:w="100.0" w:type="dxa"/>
        <w:right w:w="100.0" w:type="dxa"/>
      </w:tblCellMar>
    </w:tblPr>
  </w:style>
  <w:style w:type="table" w:styleId="Table303">
    <w:basedOn w:val="TableNormal"/>
    <w:tblPr>
      <w:tblStyleRowBandSize w:val="1"/>
      <w:tblStyleColBandSize w:val="1"/>
      <w:tblCellMar>
        <w:top w:w="100.0" w:type="dxa"/>
        <w:left w:w="100.0" w:type="dxa"/>
        <w:bottom w:w="100.0" w:type="dxa"/>
        <w:right w:w="100.0" w:type="dxa"/>
      </w:tblCellMar>
    </w:tblPr>
  </w:style>
  <w:style w:type="table" w:styleId="Table304">
    <w:basedOn w:val="TableNormal"/>
    <w:tblPr>
      <w:tblStyleRowBandSize w:val="1"/>
      <w:tblStyleColBandSize w:val="1"/>
      <w:tblCellMar>
        <w:top w:w="100.0" w:type="dxa"/>
        <w:left w:w="100.0" w:type="dxa"/>
        <w:bottom w:w="100.0" w:type="dxa"/>
        <w:right w:w="100.0" w:type="dxa"/>
      </w:tblCellMar>
    </w:tblPr>
  </w:style>
  <w:style w:type="table" w:styleId="Table305">
    <w:basedOn w:val="TableNormal"/>
    <w:tblPr>
      <w:tblStyleRowBandSize w:val="1"/>
      <w:tblStyleColBandSize w:val="1"/>
      <w:tblCellMar>
        <w:top w:w="100.0" w:type="dxa"/>
        <w:left w:w="100.0" w:type="dxa"/>
        <w:bottom w:w="100.0" w:type="dxa"/>
        <w:right w:w="100.0" w:type="dxa"/>
      </w:tblCellMar>
    </w:tblPr>
  </w:style>
  <w:style w:type="table" w:styleId="Table306">
    <w:basedOn w:val="TableNormal"/>
    <w:tblPr>
      <w:tblStyleRowBandSize w:val="1"/>
      <w:tblStyleColBandSize w:val="1"/>
      <w:tblCellMar>
        <w:top w:w="100.0" w:type="dxa"/>
        <w:left w:w="100.0" w:type="dxa"/>
        <w:bottom w:w="100.0" w:type="dxa"/>
        <w:right w:w="100.0" w:type="dxa"/>
      </w:tblCellMar>
    </w:tblPr>
  </w:style>
  <w:style w:type="table" w:styleId="Table307">
    <w:basedOn w:val="TableNormal"/>
    <w:tblPr>
      <w:tblStyleRowBandSize w:val="1"/>
      <w:tblStyleColBandSize w:val="1"/>
      <w:tblCellMar>
        <w:top w:w="100.0" w:type="dxa"/>
        <w:left w:w="100.0" w:type="dxa"/>
        <w:bottom w:w="100.0" w:type="dxa"/>
        <w:right w:w="100.0" w:type="dxa"/>
      </w:tblCellMar>
    </w:tblPr>
  </w:style>
  <w:style w:type="table" w:styleId="Table308">
    <w:basedOn w:val="TableNormal"/>
    <w:tblPr>
      <w:tblStyleRowBandSize w:val="1"/>
      <w:tblStyleColBandSize w:val="1"/>
      <w:tblCellMar>
        <w:top w:w="100.0" w:type="dxa"/>
        <w:left w:w="100.0" w:type="dxa"/>
        <w:bottom w:w="100.0" w:type="dxa"/>
        <w:right w:w="100.0" w:type="dxa"/>
      </w:tblCellMar>
    </w:tblPr>
  </w:style>
  <w:style w:type="table" w:styleId="Table309">
    <w:basedOn w:val="TableNormal"/>
    <w:tblPr>
      <w:tblStyleRowBandSize w:val="1"/>
      <w:tblStyleColBandSize w:val="1"/>
      <w:tblCellMar>
        <w:top w:w="100.0" w:type="dxa"/>
        <w:left w:w="100.0" w:type="dxa"/>
        <w:bottom w:w="100.0" w:type="dxa"/>
        <w:right w:w="100.0" w:type="dxa"/>
      </w:tblCellMar>
    </w:tblPr>
  </w:style>
  <w:style w:type="table" w:styleId="Table310">
    <w:basedOn w:val="TableNormal"/>
    <w:tblPr>
      <w:tblStyleRowBandSize w:val="1"/>
      <w:tblStyleColBandSize w:val="1"/>
      <w:tblCellMar>
        <w:top w:w="100.0" w:type="dxa"/>
        <w:left w:w="100.0" w:type="dxa"/>
        <w:bottom w:w="100.0" w:type="dxa"/>
        <w:right w:w="100.0" w:type="dxa"/>
      </w:tblCellMar>
    </w:tblPr>
  </w:style>
  <w:style w:type="table" w:styleId="Table311">
    <w:basedOn w:val="TableNormal"/>
    <w:tblPr>
      <w:tblStyleRowBandSize w:val="1"/>
      <w:tblStyleColBandSize w:val="1"/>
      <w:tblCellMar>
        <w:top w:w="100.0" w:type="dxa"/>
        <w:left w:w="100.0" w:type="dxa"/>
        <w:bottom w:w="100.0" w:type="dxa"/>
        <w:right w:w="100.0" w:type="dxa"/>
      </w:tblCellMar>
    </w:tblPr>
  </w:style>
  <w:style w:type="table" w:styleId="Table312">
    <w:basedOn w:val="TableNormal"/>
    <w:tblPr>
      <w:tblStyleRowBandSize w:val="1"/>
      <w:tblStyleColBandSize w:val="1"/>
      <w:tblCellMar>
        <w:top w:w="100.0" w:type="dxa"/>
        <w:left w:w="100.0" w:type="dxa"/>
        <w:bottom w:w="100.0" w:type="dxa"/>
        <w:right w:w="100.0" w:type="dxa"/>
      </w:tblCellMar>
    </w:tblPr>
  </w:style>
  <w:style w:type="table" w:styleId="Table313">
    <w:basedOn w:val="TableNormal"/>
    <w:tblPr>
      <w:tblStyleRowBandSize w:val="1"/>
      <w:tblStyleColBandSize w:val="1"/>
      <w:tblCellMar>
        <w:top w:w="100.0" w:type="dxa"/>
        <w:left w:w="100.0" w:type="dxa"/>
        <w:bottom w:w="100.0" w:type="dxa"/>
        <w:right w:w="100.0" w:type="dxa"/>
      </w:tblCellMar>
    </w:tblPr>
  </w:style>
  <w:style w:type="table" w:styleId="Table314">
    <w:basedOn w:val="TableNormal"/>
    <w:tblPr>
      <w:tblStyleRowBandSize w:val="1"/>
      <w:tblStyleColBandSize w:val="1"/>
      <w:tblCellMar>
        <w:top w:w="100.0" w:type="dxa"/>
        <w:left w:w="100.0" w:type="dxa"/>
        <w:bottom w:w="100.0" w:type="dxa"/>
        <w:right w:w="100.0" w:type="dxa"/>
      </w:tblCellMar>
    </w:tblPr>
  </w:style>
  <w:style w:type="table" w:styleId="Table315">
    <w:basedOn w:val="TableNormal"/>
    <w:tblPr>
      <w:tblStyleRowBandSize w:val="1"/>
      <w:tblStyleColBandSize w:val="1"/>
      <w:tblCellMar>
        <w:top w:w="100.0" w:type="dxa"/>
        <w:left w:w="100.0" w:type="dxa"/>
        <w:bottom w:w="100.0" w:type="dxa"/>
        <w:right w:w="100.0" w:type="dxa"/>
      </w:tblCellMar>
    </w:tblPr>
  </w:style>
  <w:style w:type="table" w:styleId="Table316">
    <w:basedOn w:val="TableNormal"/>
    <w:tblPr>
      <w:tblStyleRowBandSize w:val="1"/>
      <w:tblStyleColBandSize w:val="1"/>
      <w:tblCellMar>
        <w:top w:w="100.0" w:type="dxa"/>
        <w:left w:w="100.0" w:type="dxa"/>
        <w:bottom w:w="100.0" w:type="dxa"/>
        <w:right w:w="100.0" w:type="dxa"/>
      </w:tblCellMar>
    </w:tblPr>
  </w:style>
  <w:style w:type="table" w:styleId="Table317">
    <w:basedOn w:val="TableNormal"/>
    <w:tblPr>
      <w:tblStyleRowBandSize w:val="1"/>
      <w:tblStyleColBandSize w:val="1"/>
      <w:tblCellMar>
        <w:top w:w="100.0" w:type="dxa"/>
        <w:left w:w="100.0" w:type="dxa"/>
        <w:bottom w:w="100.0" w:type="dxa"/>
        <w:right w:w="100.0" w:type="dxa"/>
      </w:tblCellMar>
    </w:tblPr>
  </w:style>
  <w:style w:type="table" w:styleId="Table318">
    <w:basedOn w:val="TableNormal"/>
    <w:tblPr>
      <w:tblStyleRowBandSize w:val="1"/>
      <w:tblStyleColBandSize w:val="1"/>
      <w:tblCellMar>
        <w:top w:w="100.0" w:type="dxa"/>
        <w:left w:w="100.0" w:type="dxa"/>
        <w:bottom w:w="100.0" w:type="dxa"/>
        <w:right w:w="100.0" w:type="dxa"/>
      </w:tblCellMar>
    </w:tblPr>
  </w:style>
  <w:style w:type="table" w:styleId="Table319">
    <w:basedOn w:val="TableNormal"/>
    <w:tblPr>
      <w:tblStyleRowBandSize w:val="1"/>
      <w:tblStyleColBandSize w:val="1"/>
      <w:tblCellMar>
        <w:top w:w="100.0" w:type="dxa"/>
        <w:left w:w="100.0" w:type="dxa"/>
        <w:bottom w:w="100.0" w:type="dxa"/>
        <w:right w:w="100.0" w:type="dxa"/>
      </w:tblCellMar>
    </w:tblPr>
  </w:style>
  <w:style w:type="table" w:styleId="Table320">
    <w:basedOn w:val="TableNormal"/>
    <w:tblPr>
      <w:tblStyleRowBandSize w:val="1"/>
      <w:tblStyleColBandSize w:val="1"/>
      <w:tblCellMar>
        <w:top w:w="100.0" w:type="dxa"/>
        <w:left w:w="100.0" w:type="dxa"/>
        <w:bottom w:w="100.0" w:type="dxa"/>
        <w:right w:w="100.0" w:type="dxa"/>
      </w:tblCellMar>
    </w:tblPr>
  </w:style>
  <w:style w:type="table" w:styleId="Table321">
    <w:basedOn w:val="TableNormal"/>
    <w:tblPr>
      <w:tblStyleRowBandSize w:val="1"/>
      <w:tblStyleColBandSize w:val="1"/>
      <w:tblCellMar>
        <w:top w:w="100.0" w:type="dxa"/>
        <w:left w:w="100.0" w:type="dxa"/>
        <w:bottom w:w="100.0" w:type="dxa"/>
        <w:right w:w="100.0" w:type="dxa"/>
      </w:tblCellMar>
    </w:tblPr>
  </w:style>
  <w:style w:type="table" w:styleId="Table322">
    <w:basedOn w:val="TableNormal"/>
    <w:tblPr>
      <w:tblStyleRowBandSize w:val="1"/>
      <w:tblStyleColBandSize w:val="1"/>
      <w:tblCellMar>
        <w:top w:w="100.0" w:type="dxa"/>
        <w:left w:w="100.0" w:type="dxa"/>
        <w:bottom w:w="100.0" w:type="dxa"/>
        <w:right w:w="100.0" w:type="dxa"/>
      </w:tblCellMar>
    </w:tblPr>
  </w:style>
  <w:style w:type="table" w:styleId="Table323">
    <w:basedOn w:val="TableNormal"/>
    <w:tblPr>
      <w:tblStyleRowBandSize w:val="1"/>
      <w:tblStyleColBandSize w:val="1"/>
      <w:tblCellMar>
        <w:top w:w="100.0" w:type="dxa"/>
        <w:left w:w="100.0" w:type="dxa"/>
        <w:bottom w:w="100.0" w:type="dxa"/>
        <w:right w:w="100.0" w:type="dxa"/>
      </w:tblCellMar>
    </w:tblPr>
  </w:style>
  <w:style w:type="table" w:styleId="Table324">
    <w:basedOn w:val="TableNormal"/>
    <w:tblPr>
      <w:tblStyleRowBandSize w:val="1"/>
      <w:tblStyleColBandSize w:val="1"/>
      <w:tblCellMar>
        <w:top w:w="100.0" w:type="dxa"/>
        <w:left w:w="100.0" w:type="dxa"/>
        <w:bottom w:w="100.0" w:type="dxa"/>
        <w:right w:w="100.0" w:type="dxa"/>
      </w:tblCellMar>
    </w:tblPr>
  </w:style>
  <w:style w:type="table" w:styleId="Table325">
    <w:basedOn w:val="TableNormal"/>
    <w:tblPr>
      <w:tblStyleRowBandSize w:val="1"/>
      <w:tblStyleColBandSize w:val="1"/>
      <w:tblCellMar>
        <w:top w:w="100.0" w:type="dxa"/>
        <w:left w:w="100.0" w:type="dxa"/>
        <w:bottom w:w="100.0" w:type="dxa"/>
        <w:right w:w="100.0" w:type="dxa"/>
      </w:tblCellMar>
    </w:tblPr>
  </w:style>
  <w:style w:type="table" w:styleId="Table326">
    <w:basedOn w:val="TableNormal"/>
    <w:tblPr>
      <w:tblStyleRowBandSize w:val="1"/>
      <w:tblStyleColBandSize w:val="1"/>
      <w:tblCellMar>
        <w:top w:w="100.0" w:type="dxa"/>
        <w:left w:w="100.0" w:type="dxa"/>
        <w:bottom w:w="100.0" w:type="dxa"/>
        <w:right w:w="100.0" w:type="dxa"/>
      </w:tblCellMar>
    </w:tblPr>
  </w:style>
  <w:style w:type="table" w:styleId="Table327">
    <w:basedOn w:val="TableNormal"/>
    <w:tblPr>
      <w:tblStyleRowBandSize w:val="1"/>
      <w:tblStyleColBandSize w:val="1"/>
      <w:tblCellMar>
        <w:top w:w="100.0" w:type="dxa"/>
        <w:left w:w="100.0" w:type="dxa"/>
        <w:bottom w:w="100.0" w:type="dxa"/>
        <w:right w:w="100.0" w:type="dxa"/>
      </w:tblCellMar>
    </w:tblPr>
  </w:style>
  <w:style w:type="table" w:styleId="Table328">
    <w:basedOn w:val="TableNormal"/>
    <w:tblPr>
      <w:tblStyleRowBandSize w:val="1"/>
      <w:tblStyleColBandSize w:val="1"/>
      <w:tblCellMar>
        <w:top w:w="100.0" w:type="dxa"/>
        <w:left w:w="100.0" w:type="dxa"/>
        <w:bottom w:w="100.0" w:type="dxa"/>
        <w:right w:w="100.0" w:type="dxa"/>
      </w:tblCellMar>
    </w:tblPr>
  </w:style>
  <w:style w:type="table" w:styleId="Table329">
    <w:basedOn w:val="TableNormal"/>
    <w:tblPr>
      <w:tblStyleRowBandSize w:val="1"/>
      <w:tblStyleColBandSize w:val="1"/>
      <w:tblCellMar>
        <w:top w:w="100.0" w:type="dxa"/>
        <w:left w:w="100.0" w:type="dxa"/>
        <w:bottom w:w="100.0" w:type="dxa"/>
        <w:right w:w="100.0" w:type="dxa"/>
      </w:tblCellMar>
    </w:tblPr>
  </w:style>
  <w:style w:type="table" w:styleId="Table330">
    <w:basedOn w:val="TableNormal"/>
    <w:tblPr>
      <w:tblStyleRowBandSize w:val="1"/>
      <w:tblStyleColBandSize w:val="1"/>
      <w:tblCellMar>
        <w:top w:w="100.0" w:type="dxa"/>
        <w:left w:w="100.0" w:type="dxa"/>
        <w:bottom w:w="100.0" w:type="dxa"/>
        <w:right w:w="100.0" w:type="dxa"/>
      </w:tblCellMar>
    </w:tblPr>
  </w:style>
  <w:style w:type="table" w:styleId="Table331">
    <w:basedOn w:val="TableNormal"/>
    <w:tblPr>
      <w:tblStyleRowBandSize w:val="1"/>
      <w:tblStyleColBandSize w:val="1"/>
      <w:tblCellMar>
        <w:top w:w="100.0" w:type="dxa"/>
        <w:left w:w="100.0" w:type="dxa"/>
        <w:bottom w:w="100.0" w:type="dxa"/>
        <w:right w:w="100.0" w:type="dxa"/>
      </w:tblCellMar>
    </w:tblPr>
  </w:style>
  <w:style w:type="table" w:styleId="Table332">
    <w:basedOn w:val="TableNormal"/>
    <w:tblPr>
      <w:tblStyleRowBandSize w:val="1"/>
      <w:tblStyleColBandSize w:val="1"/>
      <w:tblCellMar>
        <w:top w:w="100.0" w:type="dxa"/>
        <w:left w:w="100.0" w:type="dxa"/>
        <w:bottom w:w="100.0" w:type="dxa"/>
        <w:right w:w="100.0" w:type="dxa"/>
      </w:tblCellMar>
    </w:tblPr>
  </w:style>
  <w:style w:type="table" w:styleId="Table333">
    <w:basedOn w:val="TableNormal"/>
    <w:tblPr>
      <w:tblStyleRowBandSize w:val="1"/>
      <w:tblStyleColBandSize w:val="1"/>
      <w:tblCellMar>
        <w:top w:w="100.0" w:type="dxa"/>
        <w:left w:w="100.0" w:type="dxa"/>
        <w:bottom w:w="100.0" w:type="dxa"/>
        <w:right w:w="100.0" w:type="dxa"/>
      </w:tblCellMar>
    </w:tblPr>
  </w:style>
  <w:style w:type="table" w:styleId="Table334">
    <w:basedOn w:val="TableNormal"/>
    <w:tblPr>
      <w:tblStyleRowBandSize w:val="1"/>
      <w:tblStyleColBandSize w:val="1"/>
      <w:tblCellMar>
        <w:top w:w="100.0" w:type="dxa"/>
        <w:left w:w="100.0" w:type="dxa"/>
        <w:bottom w:w="100.0" w:type="dxa"/>
        <w:right w:w="100.0" w:type="dxa"/>
      </w:tblCellMar>
    </w:tblPr>
  </w:style>
  <w:style w:type="table" w:styleId="Table335">
    <w:basedOn w:val="TableNormal"/>
    <w:tblPr>
      <w:tblStyleRowBandSize w:val="1"/>
      <w:tblStyleColBandSize w:val="1"/>
      <w:tblCellMar>
        <w:top w:w="100.0" w:type="dxa"/>
        <w:left w:w="100.0" w:type="dxa"/>
        <w:bottom w:w="100.0" w:type="dxa"/>
        <w:right w:w="100.0" w:type="dxa"/>
      </w:tblCellMar>
    </w:tblPr>
  </w:style>
  <w:style w:type="table" w:styleId="Table336">
    <w:basedOn w:val="TableNormal"/>
    <w:tblPr>
      <w:tblStyleRowBandSize w:val="1"/>
      <w:tblStyleColBandSize w:val="1"/>
      <w:tblCellMar>
        <w:top w:w="100.0" w:type="dxa"/>
        <w:left w:w="100.0" w:type="dxa"/>
        <w:bottom w:w="100.0" w:type="dxa"/>
        <w:right w:w="100.0" w:type="dxa"/>
      </w:tblCellMar>
    </w:tblPr>
  </w:style>
  <w:style w:type="table" w:styleId="Table337">
    <w:basedOn w:val="TableNormal"/>
    <w:tblPr>
      <w:tblStyleRowBandSize w:val="1"/>
      <w:tblStyleColBandSize w:val="1"/>
      <w:tblCellMar>
        <w:top w:w="100.0" w:type="dxa"/>
        <w:left w:w="100.0" w:type="dxa"/>
        <w:bottom w:w="100.0" w:type="dxa"/>
        <w:right w:w="100.0" w:type="dxa"/>
      </w:tblCellMar>
    </w:tblPr>
  </w:style>
  <w:style w:type="table" w:styleId="Table338">
    <w:basedOn w:val="TableNormal"/>
    <w:tblPr>
      <w:tblStyleRowBandSize w:val="1"/>
      <w:tblStyleColBandSize w:val="1"/>
      <w:tblCellMar>
        <w:top w:w="100.0" w:type="dxa"/>
        <w:left w:w="100.0" w:type="dxa"/>
        <w:bottom w:w="100.0" w:type="dxa"/>
        <w:right w:w="100.0" w:type="dxa"/>
      </w:tblCellMar>
    </w:tblPr>
  </w:style>
  <w:style w:type="table" w:styleId="Table339">
    <w:basedOn w:val="TableNormal"/>
    <w:tblPr>
      <w:tblStyleRowBandSize w:val="1"/>
      <w:tblStyleColBandSize w:val="1"/>
      <w:tblCellMar>
        <w:top w:w="100.0" w:type="dxa"/>
        <w:left w:w="100.0" w:type="dxa"/>
        <w:bottom w:w="100.0" w:type="dxa"/>
        <w:right w:w="100.0" w:type="dxa"/>
      </w:tblCellMar>
    </w:tblPr>
  </w:style>
  <w:style w:type="table" w:styleId="Table340">
    <w:basedOn w:val="TableNormal"/>
    <w:tblPr>
      <w:tblStyleRowBandSize w:val="1"/>
      <w:tblStyleColBandSize w:val="1"/>
      <w:tblCellMar>
        <w:top w:w="100.0" w:type="dxa"/>
        <w:left w:w="100.0" w:type="dxa"/>
        <w:bottom w:w="100.0" w:type="dxa"/>
        <w:right w:w="100.0" w:type="dxa"/>
      </w:tblCellMar>
    </w:tblPr>
  </w:style>
  <w:style w:type="table" w:styleId="Table341">
    <w:basedOn w:val="TableNormal"/>
    <w:tblPr>
      <w:tblStyleRowBandSize w:val="1"/>
      <w:tblStyleColBandSize w:val="1"/>
      <w:tblCellMar>
        <w:top w:w="100.0" w:type="dxa"/>
        <w:left w:w="100.0" w:type="dxa"/>
        <w:bottom w:w="100.0" w:type="dxa"/>
        <w:right w:w="100.0" w:type="dxa"/>
      </w:tblCellMar>
    </w:tblPr>
  </w:style>
  <w:style w:type="table" w:styleId="Table342">
    <w:basedOn w:val="TableNormal"/>
    <w:tblPr>
      <w:tblStyleRowBandSize w:val="1"/>
      <w:tblStyleColBandSize w:val="1"/>
      <w:tblCellMar>
        <w:top w:w="100.0" w:type="dxa"/>
        <w:left w:w="100.0" w:type="dxa"/>
        <w:bottom w:w="100.0" w:type="dxa"/>
        <w:right w:w="100.0" w:type="dxa"/>
      </w:tblCellMar>
    </w:tblPr>
  </w:style>
  <w:style w:type="table" w:styleId="Table343">
    <w:basedOn w:val="TableNormal"/>
    <w:tblPr>
      <w:tblStyleRowBandSize w:val="1"/>
      <w:tblStyleColBandSize w:val="1"/>
      <w:tblCellMar>
        <w:top w:w="100.0" w:type="dxa"/>
        <w:left w:w="100.0" w:type="dxa"/>
        <w:bottom w:w="100.0" w:type="dxa"/>
        <w:right w:w="100.0" w:type="dxa"/>
      </w:tblCellMar>
    </w:tblPr>
  </w:style>
  <w:style w:type="table" w:styleId="Table344">
    <w:basedOn w:val="TableNormal"/>
    <w:tblPr>
      <w:tblStyleRowBandSize w:val="1"/>
      <w:tblStyleColBandSize w:val="1"/>
      <w:tblCellMar>
        <w:top w:w="100.0" w:type="dxa"/>
        <w:left w:w="100.0" w:type="dxa"/>
        <w:bottom w:w="100.0" w:type="dxa"/>
        <w:right w:w="100.0" w:type="dxa"/>
      </w:tblCellMar>
    </w:tblPr>
  </w:style>
  <w:style w:type="table" w:styleId="Table345">
    <w:basedOn w:val="TableNormal"/>
    <w:tblPr>
      <w:tblStyleRowBandSize w:val="1"/>
      <w:tblStyleColBandSize w:val="1"/>
      <w:tblCellMar>
        <w:top w:w="100.0" w:type="dxa"/>
        <w:left w:w="100.0" w:type="dxa"/>
        <w:bottom w:w="100.0" w:type="dxa"/>
        <w:right w:w="100.0" w:type="dxa"/>
      </w:tblCellMar>
    </w:tblPr>
  </w:style>
  <w:style w:type="table" w:styleId="Table346">
    <w:basedOn w:val="TableNormal"/>
    <w:tblPr>
      <w:tblStyleRowBandSize w:val="1"/>
      <w:tblStyleColBandSize w:val="1"/>
      <w:tblCellMar>
        <w:top w:w="100.0" w:type="dxa"/>
        <w:left w:w="100.0" w:type="dxa"/>
        <w:bottom w:w="100.0" w:type="dxa"/>
        <w:right w:w="100.0" w:type="dxa"/>
      </w:tblCellMar>
    </w:tblPr>
  </w:style>
  <w:style w:type="table" w:styleId="Table347">
    <w:basedOn w:val="TableNormal"/>
    <w:tblPr>
      <w:tblStyleRowBandSize w:val="1"/>
      <w:tblStyleColBandSize w:val="1"/>
      <w:tblCellMar>
        <w:top w:w="100.0" w:type="dxa"/>
        <w:left w:w="100.0" w:type="dxa"/>
        <w:bottom w:w="100.0" w:type="dxa"/>
        <w:right w:w="100.0" w:type="dxa"/>
      </w:tblCellMar>
    </w:tblPr>
  </w:style>
  <w:style w:type="table" w:styleId="Table348">
    <w:basedOn w:val="TableNormal"/>
    <w:tblPr>
      <w:tblStyleRowBandSize w:val="1"/>
      <w:tblStyleColBandSize w:val="1"/>
      <w:tblCellMar>
        <w:top w:w="100.0" w:type="dxa"/>
        <w:left w:w="100.0" w:type="dxa"/>
        <w:bottom w:w="100.0" w:type="dxa"/>
        <w:right w:w="100.0" w:type="dxa"/>
      </w:tblCellMar>
    </w:tblPr>
  </w:style>
  <w:style w:type="table" w:styleId="Table349">
    <w:basedOn w:val="TableNormal"/>
    <w:tblPr>
      <w:tblStyleRowBandSize w:val="1"/>
      <w:tblStyleColBandSize w:val="1"/>
      <w:tblCellMar>
        <w:top w:w="100.0" w:type="dxa"/>
        <w:left w:w="100.0" w:type="dxa"/>
        <w:bottom w:w="100.0" w:type="dxa"/>
        <w:right w:w="100.0" w:type="dxa"/>
      </w:tblCellMar>
    </w:tblPr>
  </w:style>
  <w:style w:type="table" w:styleId="Table350">
    <w:basedOn w:val="TableNormal"/>
    <w:tblPr>
      <w:tblStyleRowBandSize w:val="1"/>
      <w:tblStyleColBandSize w:val="1"/>
      <w:tblCellMar>
        <w:top w:w="100.0" w:type="dxa"/>
        <w:left w:w="100.0" w:type="dxa"/>
        <w:bottom w:w="100.0" w:type="dxa"/>
        <w:right w:w="100.0" w:type="dxa"/>
      </w:tblCellMar>
    </w:tblPr>
  </w:style>
  <w:style w:type="table" w:styleId="Table351">
    <w:basedOn w:val="TableNormal"/>
    <w:tblPr>
      <w:tblStyleRowBandSize w:val="1"/>
      <w:tblStyleColBandSize w:val="1"/>
      <w:tblCellMar>
        <w:top w:w="100.0" w:type="dxa"/>
        <w:left w:w="100.0" w:type="dxa"/>
        <w:bottom w:w="100.0" w:type="dxa"/>
        <w:right w:w="100.0" w:type="dxa"/>
      </w:tblCellMar>
    </w:tblPr>
  </w:style>
  <w:style w:type="table" w:styleId="Table352">
    <w:basedOn w:val="TableNormal"/>
    <w:tblPr>
      <w:tblStyleRowBandSize w:val="1"/>
      <w:tblStyleColBandSize w:val="1"/>
      <w:tblCellMar>
        <w:top w:w="100.0" w:type="dxa"/>
        <w:left w:w="100.0" w:type="dxa"/>
        <w:bottom w:w="100.0" w:type="dxa"/>
        <w:right w:w="100.0" w:type="dxa"/>
      </w:tblCellMar>
    </w:tblPr>
  </w:style>
  <w:style w:type="table" w:styleId="Table353">
    <w:basedOn w:val="TableNormal"/>
    <w:tblPr>
      <w:tblStyleRowBandSize w:val="1"/>
      <w:tblStyleColBandSize w:val="1"/>
      <w:tblCellMar>
        <w:top w:w="100.0" w:type="dxa"/>
        <w:left w:w="100.0" w:type="dxa"/>
        <w:bottom w:w="100.0" w:type="dxa"/>
        <w:right w:w="100.0" w:type="dxa"/>
      </w:tblCellMar>
    </w:tblPr>
  </w:style>
  <w:style w:type="table" w:styleId="Table354">
    <w:basedOn w:val="TableNormal"/>
    <w:tblPr>
      <w:tblStyleRowBandSize w:val="1"/>
      <w:tblStyleColBandSize w:val="1"/>
      <w:tblCellMar>
        <w:top w:w="100.0" w:type="dxa"/>
        <w:left w:w="100.0" w:type="dxa"/>
        <w:bottom w:w="100.0" w:type="dxa"/>
        <w:right w:w="100.0" w:type="dxa"/>
      </w:tblCellMar>
    </w:tblPr>
  </w:style>
  <w:style w:type="table" w:styleId="Table355">
    <w:basedOn w:val="TableNormal"/>
    <w:tblPr>
      <w:tblStyleRowBandSize w:val="1"/>
      <w:tblStyleColBandSize w:val="1"/>
      <w:tblCellMar>
        <w:top w:w="100.0" w:type="dxa"/>
        <w:left w:w="100.0" w:type="dxa"/>
        <w:bottom w:w="100.0" w:type="dxa"/>
        <w:right w:w="100.0" w:type="dxa"/>
      </w:tblCellMar>
    </w:tblPr>
  </w:style>
  <w:style w:type="table" w:styleId="Table356">
    <w:basedOn w:val="TableNormal"/>
    <w:tblPr>
      <w:tblStyleRowBandSize w:val="1"/>
      <w:tblStyleColBandSize w:val="1"/>
      <w:tblCellMar>
        <w:top w:w="100.0" w:type="dxa"/>
        <w:left w:w="100.0" w:type="dxa"/>
        <w:bottom w:w="100.0" w:type="dxa"/>
        <w:right w:w="100.0" w:type="dxa"/>
      </w:tblCellMar>
    </w:tblPr>
  </w:style>
  <w:style w:type="table" w:styleId="Table357">
    <w:basedOn w:val="TableNormal"/>
    <w:tblPr>
      <w:tblStyleRowBandSize w:val="1"/>
      <w:tblStyleColBandSize w:val="1"/>
      <w:tblCellMar>
        <w:top w:w="100.0" w:type="dxa"/>
        <w:left w:w="100.0" w:type="dxa"/>
        <w:bottom w:w="100.0" w:type="dxa"/>
        <w:right w:w="100.0" w:type="dxa"/>
      </w:tblCellMar>
    </w:tblPr>
  </w:style>
  <w:style w:type="table" w:styleId="Table358">
    <w:basedOn w:val="TableNormal"/>
    <w:tblPr>
      <w:tblStyleRowBandSize w:val="1"/>
      <w:tblStyleColBandSize w:val="1"/>
      <w:tblCellMar>
        <w:top w:w="100.0" w:type="dxa"/>
        <w:left w:w="100.0" w:type="dxa"/>
        <w:bottom w:w="100.0" w:type="dxa"/>
        <w:right w:w="100.0" w:type="dxa"/>
      </w:tblCellMar>
    </w:tblPr>
  </w:style>
  <w:style w:type="table" w:styleId="Table359">
    <w:basedOn w:val="TableNormal"/>
    <w:tblPr>
      <w:tblStyleRowBandSize w:val="1"/>
      <w:tblStyleColBandSize w:val="1"/>
      <w:tblCellMar>
        <w:top w:w="100.0" w:type="dxa"/>
        <w:left w:w="100.0" w:type="dxa"/>
        <w:bottom w:w="100.0" w:type="dxa"/>
        <w:right w:w="100.0" w:type="dxa"/>
      </w:tblCellMar>
    </w:tblPr>
  </w:style>
  <w:style w:type="table" w:styleId="Table360">
    <w:basedOn w:val="TableNormal"/>
    <w:tblPr>
      <w:tblStyleRowBandSize w:val="1"/>
      <w:tblStyleColBandSize w:val="1"/>
      <w:tblCellMar>
        <w:top w:w="100.0" w:type="dxa"/>
        <w:left w:w="100.0" w:type="dxa"/>
        <w:bottom w:w="100.0" w:type="dxa"/>
        <w:right w:w="100.0" w:type="dxa"/>
      </w:tblCellMar>
    </w:tblPr>
  </w:style>
  <w:style w:type="table" w:styleId="Table361">
    <w:basedOn w:val="TableNormal"/>
    <w:tblPr>
      <w:tblStyleRowBandSize w:val="1"/>
      <w:tblStyleColBandSize w:val="1"/>
      <w:tblCellMar>
        <w:top w:w="100.0" w:type="dxa"/>
        <w:left w:w="100.0" w:type="dxa"/>
        <w:bottom w:w="100.0" w:type="dxa"/>
        <w:right w:w="100.0" w:type="dxa"/>
      </w:tblCellMar>
    </w:tblPr>
  </w:style>
  <w:style w:type="table" w:styleId="Table362">
    <w:basedOn w:val="TableNormal"/>
    <w:tblPr>
      <w:tblStyleRowBandSize w:val="1"/>
      <w:tblStyleColBandSize w:val="1"/>
      <w:tblCellMar>
        <w:top w:w="100.0" w:type="dxa"/>
        <w:left w:w="100.0" w:type="dxa"/>
        <w:bottom w:w="100.0" w:type="dxa"/>
        <w:right w:w="100.0" w:type="dxa"/>
      </w:tblCellMar>
    </w:tblPr>
  </w:style>
  <w:style w:type="table" w:styleId="Table363">
    <w:basedOn w:val="TableNormal"/>
    <w:tblPr>
      <w:tblStyleRowBandSize w:val="1"/>
      <w:tblStyleColBandSize w:val="1"/>
      <w:tblCellMar>
        <w:top w:w="100.0" w:type="dxa"/>
        <w:left w:w="100.0" w:type="dxa"/>
        <w:bottom w:w="100.0" w:type="dxa"/>
        <w:right w:w="100.0" w:type="dxa"/>
      </w:tblCellMar>
    </w:tblPr>
  </w:style>
  <w:style w:type="table" w:styleId="Table364">
    <w:basedOn w:val="TableNormal"/>
    <w:tblPr>
      <w:tblStyleRowBandSize w:val="1"/>
      <w:tblStyleColBandSize w:val="1"/>
      <w:tblCellMar>
        <w:top w:w="100.0" w:type="dxa"/>
        <w:left w:w="100.0" w:type="dxa"/>
        <w:bottom w:w="100.0" w:type="dxa"/>
        <w:right w:w="100.0" w:type="dxa"/>
      </w:tblCellMar>
    </w:tblPr>
  </w:style>
  <w:style w:type="table" w:styleId="Table365">
    <w:basedOn w:val="TableNormal"/>
    <w:tblPr>
      <w:tblStyleRowBandSize w:val="1"/>
      <w:tblStyleColBandSize w:val="1"/>
      <w:tblCellMar>
        <w:top w:w="100.0" w:type="dxa"/>
        <w:left w:w="100.0" w:type="dxa"/>
        <w:bottom w:w="100.0" w:type="dxa"/>
        <w:right w:w="100.0" w:type="dxa"/>
      </w:tblCellMar>
    </w:tblPr>
  </w:style>
  <w:style w:type="table" w:styleId="Table366">
    <w:basedOn w:val="TableNormal"/>
    <w:tblPr>
      <w:tblStyleRowBandSize w:val="1"/>
      <w:tblStyleColBandSize w:val="1"/>
      <w:tblCellMar>
        <w:top w:w="100.0" w:type="dxa"/>
        <w:left w:w="100.0" w:type="dxa"/>
        <w:bottom w:w="100.0" w:type="dxa"/>
        <w:right w:w="100.0" w:type="dxa"/>
      </w:tblCellMar>
    </w:tblPr>
  </w:style>
  <w:style w:type="table" w:styleId="Table367">
    <w:basedOn w:val="TableNormal"/>
    <w:tblPr>
      <w:tblStyleRowBandSize w:val="1"/>
      <w:tblStyleColBandSize w:val="1"/>
      <w:tblCellMar>
        <w:top w:w="100.0" w:type="dxa"/>
        <w:left w:w="100.0" w:type="dxa"/>
        <w:bottom w:w="100.0" w:type="dxa"/>
        <w:right w:w="100.0" w:type="dxa"/>
      </w:tblCellMar>
    </w:tblPr>
  </w:style>
  <w:style w:type="table" w:styleId="Table368">
    <w:basedOn w:val="TableNormal"/>
    <w:tblPr>
      <w:tblStyleRowBandSize w:val="1"/>
      <w:tblStyleColBandSize w:val="1"/>
      <w:tblCellMar>
        <w:top w:w="100.0" w:type="dxa"/>
        <w:left w:w="100.0" w:type="dxa"/>
        <w:bottom w:w="100.0" w:type="dxa"/>
        <w:right w:w="100.0" w:type="dxa"/>
      </w:tblCellMar>
    </w:tblPr>
  </w:style>
  <w:style w:type="table" w:styleId="Table369">
    <w:basedOn w:val="TableNormal"/>
    <w:tblPr>
      <w:tblStyleRowBandSize w:val="1"/>
      <w:tblStyleColBandSize w:val="1"/>
      <w:tblCellMar>
        <w:top w:w="100.0" w:type="dxa"/>
        <w:left w:w="100.0" w:type="dxa"/>
        <w:bottom w:w="100.0" w:type="dxa"/>
        <w:right w:w="100.0" w:type="dxa"/>
      </w:tblCellMar>
    </w:tblPr>
  </w:style>
  <w:style w:type="table" w:styleId="Table370">
    <w:basedOn w:val="TableNormal"/>
    <w:tblPr>
      <w:tblStyleRowBandSize w:val="1"/>
      <w:tblStyleColBandSize w:val="1"/>
      <w:tblCellMar>
        <w:top w:w="100.0" w:type="dxa"/>
        <w:left w:w="100.0" w:type="dxa"/>
        <w:bottom w:w="100.0" w:type="dxa"/>
        <w:right w:w="100.0" w:type="dxa"/>
      </w:tblCellMar>
    </w:tblPr>
  </w:style>
  <w:style w:type="table" w:styleId="Table371">
    <w:basedOn w:val="TableNormal"/>
    <w:tblPr>
      <w:tblStyleRowBandSize w:val="1"/>
      <w:tblStyleColBandSize w:val="1"/>
      <w:tblCellMar>
        <w:top w:w="100.0" w:type="dxa"/>
        <w:left w:w="100.0" w:type="dxa"/>
        <w:bottom w:w="100.0" w:type="dxa"/>
        <w:right w:w="100.0" w:type="dxa"/>
      </w:tblCellMar>
    </w:tblPr>
  </w:style>
  <w:style w:type="table" w:styleId="Table372">
    <w:basedOn w:val="TableNormal"/>
    <w:tblPr>
      <w:tblStyleRowBandSize w:val="1"/>
      <w:tblStyleColBandSize w:val="1"/>
      <w:tblCellMar>
        <w:top w:w="100.0" w:type="dxa"/>
        <w:left w:w="100.0" w:type="dxa"/>
        <w:bottom w:w="100.0" w:type="dxa"/>
        <w:right w:w="100.0" w:type="dxa"/>
      </w:tblCellMar>
    </w:tblPr>
  </w:style>
  <w:style w:type="table" w:styleId="Table373">
    <w:basedOn w:val="TableNormal"/>
    <w:tblPr>
      <w:tblStyleRowBandSize w:val="1"/>
      <w:tblStyleColBandSize w:val="1"/>
      <w:tblCellMar>
        <w:top w:w="100.0" w:type="dxa"/>
        <w:left w:w="100.0" w:type="dxa"/>
        <w:bottom w:w="100.0" w:type="dxa"/>
        <w:right w:w="100.0" w:type="dxa"/>
      </w:tblCellMar>
    </w:tblPr>
  </w:style>
  <w:style w:type="table" w:styleId="Table374">
    <w:basedOn w:val="TableNormal"/>
    <w:tblPr>
      <w:tblStyleRowBandSize w:val="1"/>
      <w:tblStyleColBandSize w:val="1"/>
      <w:tblCellMar>
        <w:top w:w="100.0" w:type="dxa"/>
        <w:left w:w="100.0" w:type="dxa"/>
        <w:bottom w:w="100.0" w:type="dxa"/>
        <w:right w:w="100.0" w:type="dxa"/>
      </w:tblCellMar>
    </w:tblPr>
  </w:style>
  <w:style w:type="table" w:styleId="Table375">
    <w:basedOn w:val="TableNormal"/>
    <w:tblPr>
      <w:tblStyleRowBandSize w:val="1"/>
      <w:tblStyleColBandSize w:val="1"/>
      <w:tblCellMar>
        <w:top w:w="100.0" w:type="dxa"/>
        <w:left w:w="100.0" w:type="dxa"/>
        <w:bottom w:w="100.0" w:type="dxa"/>
        <w:right w:w="100.0" w:type="dxa"/>
      </w:tblCellMar>
    </w:tblPr>
  </w:style>
  <w:style w:type="table" w:styleId="Table376">
    <w:basedOn w:val="TableNormal"/>
    <w:tblPr>
      <w:tblStyleRowBandSize w:val="1"/>
      <w:tblStyleColBandSize w:val="1"/>
      <w:tblCellMar>
        <w:top w:w="100.0" w:type="dxa"/>
        <w:left w:w="100.0" w:type="dxa"/>
        <w:bottom w:w="100.0" w:type="dxa"/>
        <w:right w:w="100.0" w:type="dxa"/>
      </w:tblCellMar>
    </w:tblPr>
  </w:style>
  <w:style w:type="table" w:styleId="Table377">
    <w:basedOn w:val="TableNormal"/>
    <w:tblPr>
      <w:tblStyleRowBandSize w:val="1"/>
      <w:tblStyleColBandSize w:val="1"/>
      <w:tblCellMar>
        <w:top w:w="100.0" w:type="dxa"/>
        <w:left w:w="100.0" w:type="dxa"/>
        <w:bottom w:w="100.0" w:type="dxa"/>
        <w:right w:w="100.0" w:type="dxa"/>
      </w:tblCellMar>
    </w:tblPr>
  </w:style>
  <w:style w:type="table" w:styleId="Table378">
    <w:basedOn w:val="TableNormal"/>
    <w:tblPr>
      <w:tblStyleRowBandSize w:val="1"/>
      <w:tblStyleColBandSize w:val="1"/>
      <w:tblCellMar>
        <w:top w:w="100.0" w:type="dxa"/>
        <w:left w:w="100.0" w:type="dxa"/>
        <w:bottom w:w="100.0" w:type="dxa"/>
        <w:right w:w="100.0" w:type="dxa"/>
      </w:tblCellMar>
    </w:tblPr>
  </w:style>
  <w:style w:type="table" w:styleId="Table379">
    <w:basedOn w:val="TableNormal"/>
    <w:tblPr>
      <w:tblStyleRowBandSize w:val="1"/>
      <w:tblStyleColBandSize w:val="1"/>
      <w:tblCellMar>
        <w:top w:w="100.0" w:type="dxa"/>
        <w:left w:w="100.0" w:type="dxa"/>
        <w:bottom w:w="100.0" w:type="dxa"/>
        <w:right w:w="100.0" w:type="dxa"/>
      </w:tblCellMar>
    </w:tblPr>
  </w:style>
  <w:style w:type="table" w:styleId="Table380">
    <w:basedOn w:val="TableNormal"/>
    <w:tblPr>
      <w:tblStyleRowBandSize w:val="1"/>
      <w:tblStyleColBandSize w:val="1"/>
      <w:tblCellMar>
        <w:top w:w="100.0" w:type="dxa"/>
        <w:left w:w="100.0" w:type="dxa"/>
        <w:bottom w:w="100.0" w:type="dxa"/>
        <w:right w:w="100.0" w:type="dxa"/>
      </w:tblCellMar>
    </w:tblPr>
  </w:style>
  <w:style w:type="table" w:styleId="Table381">
    <w:basedOn w:val="TableNormal"/>
    <w:tblPr>
      <w:tblStyleRowBandSize w:val="1"/>
      <w:tblStyleColBandSize w:val="1"/>
      <w:tblCellMar>
        <w:top w:w="100.0" w:type="dxa"/>
        <w:left w:w="100.0" w:type="dxa"/>
        <w:bottom w:w="100.0" w:type="dxa"/>
        <w:right w:w="100.0" w:type="dxa"/>
      </w:tblCellMar>
    </w:tblPr>
  </w:style>
  <w:style w:type="table" w:styleId="Table382">
    <w:basedOn w:val="TableNormal"/>
    <w:tblPr>
      <w:tblStyleRowBandSize w:val="1"/>
      <w:tblStyleColBandSize w:val="1"/>
      <w:tblCellMar>
        <w:top w:w="100.0" w:type="dxa"/>
        <w:left w:w="100.0" w:type="dxa"/>
        <w:bottom w:w="100.0" w:type="dxa"/>
        <w:right w:w="100.0" w:type="dxa"/>
      </w:tblCellMar>
    </w:tblPr>
  </w:style>
  <w:style w:type="table" w:styleId="Table383">
    <w:basedOn w:val="TableNormal"/>
    <w:tblPr>
      <w:tblStyleRowBandSize w:val="1"/>
      <w:tblStyleColBandSize w:val="1"/>
      <w:tblCellMar>
        <w:top w:w="100.0" w:type="dxa"/>
        <w:left w:w="100.0" w:type="dxa"/>
        <w:bottom w:w="100.0" w:type="dxa"/>
        <w:right w:w="100.0" w:type="dxa"/>
      </w:tblCellMar>
    </w:tblPr>
  </w:style>
  <w:style w:type="table" w:styleId="Table384">
    <w:basedOn w:val="TableNormal"/>
    <w:tblPr>
      <w:tblStyleRowBandSize w:val="1"/>
      <w:tblStyleColBandSize w:val="1"/>
      <w:tblCellMar>
        <w:top w:w="100.0" w:type="dxa"/>
        <w:left w:w="100.0" w:type="dxa"/>
        <w:bottom w:w="100.0" w:type="dxa"/>
        <w:right w:w="100.0" w:type="dxa"/>
      </w:tblCellMar>
    </w:tblPr>
  </w:style>
  <w:style w:type="table" w:styleId="Table385">
    <w:basedOn w:val="TableNormal"/>
    <w:tblPr>
      <w:tblStyleRowBandSize w:val="1"/>
      <w:tblStyleColBandSize w:val="1"/>
      <w:tblCellMar>
        <w:top w:w="100.0" w:type="dxa"/>
        <w:left w:w="100.0" w:type="dxa"/>
        <w:bottom w:w="100.0" w:type="dxa"/>
        <w:right w:w="100.0" w:type="dxa"/>
      </w:tblCellMar>
    </w:tblPr>
  </w:style>
  <w:style w:type="table" w:styleId="Table386">
    <w:basedOn w:val="TableNormal"/>
    <w:tblPr>
      <w:tblStyleRowBandSize w:val="1"/>
      <w:tblStyleColBandSize w:val="1"/>
      <w:tblCellMar>
        <w:top w:w="100.0" w:type="dxa"/>
        <w:left w:w="100.0" w:type="dxa"/>
        <w:bottom w:w="100.0" w:type="dxa"/>
        <w:right w:w="100.0" w:type="dxa"/>
      </w:tblCellMar>
    </w:tblPr>
  </w:style>
  <w:style w:type="table" w:styleId="Table387">
    <w:basedOn w:val="TableNormal"/>
    <w:tblPr>
      <w:tblStyleRowBandSize w:val="1"/>
      <w:tblStyleColBandSize w:val="1"/>
      <w:tblCellMar>
        <w:top w:w="100.0" w:type="dxa"/>
        <w:left w:w="100.0" w:type="dxa"/>
        <w:bottom w:w="100.0" w:type="dxa"/>
        <w:right w:w="100.0" w:type="dxa"/>
      </w:tblCellMar>
    </w:tblPr>
  </w:style>
  <w:style w:type="table" w:styleId="Table388">
    <w:basedOn w:val="TableNormal"/>
    <w:tblPr>
      <w:tblStyleRowBandSize w:val="1"/>
      <w:tblStyleColBandSize w:val="1"/>
      <w:tblCellMar>
        <w:top w:w="100.0" w:type="dxa"/>
        <w:left w:w="100.0" w:type="dxa"/>
        <w:bottom w:w="100.0" w:type="dxa"/>
        <w:right w:w="100.0" w:type="dxa"/>
      </w:tblCellMar>
    </w:tblPr>
  </w:style>
  <w:style w:type="table" w:styleId="Table389">
    <w:basedOn w:val="TableNormal"/>
    <w:tblPr>
      <w:tblStyleRowBandSize w:val="1"/>
      <w:tblStyleColBandSize w:val="1"/>
      <w:tblCellMar>
        <w:top w:w="100.0" w:type="dxa"/>
        <w:left w:w="100.0" w:type="dxa"/>
        <w:bottom w:w="100.0" w:type="dxa"/>
        <w:right w:w="100.0" w:type="dxa"/>
      </w:tblCellMar>
    </w:tblPr>
  </w:style>
  <w:style w:type="table" w:styleId="Table390">
    <w:basedOn w:val="TableNormal"/>
    <w:tblPr>
      <w:tblStyleRowBandSize w:val="1"/>
      <w:tblStyleColBandSize w:val="1"/>
      <w:tblCellMar>
        <w:top w:w="100.0" w:type="dxa"/>
        <w:left w:w="100.0" w:type="dxa"/>
        <w:bottom w:w="100.0" w:type="dxa"/>
        <w:right w:w="100.0" w:type="dxa"/>
      </w:tblCellMar>
    </w:tblPr>
  </w:style>
  <w:style w:type="table" w:styleId="Table391">
    <w:basedOn w:val="TableNormal"/>
    <w:tblPr>
      <w:tblStyleRowBandSize w:val="1"/>
      <w:tblStyleColBandSize w:val="1"/>
      <w:tblCellMar>
        <w:top w:w="100.0" w:type="dxa"/>
        <w:left w:w="100.0" w:type="dxa"/>
        <w:bottom w:w="100.0" w:type="dxa"/>
        <w:right w:w="100.0" w:type="dxa"/>
      </w:tblCellMar>
    </w:tblPr>
  </w:style>
  <w:style w:type="table" w:styleId="Table392">
    <w:basedOn w:val="TableNormal"/>
    <w:tblPr>
      <w:tblStyleRowBandSize w:val="1"/>
      <w:tblStyleColBandSize w:val="1"/>
      <w:tblCellMar>
        <w:top w:w="100.0" w:type="dxa"/>
        <w:left w:w="100.0" w:type="dxa"/>
        <w:bottom w:w="100.0" w:type="dxa"/>
        <w:right w:w="100.0" w:type="dxa"/>
      </w:tblCellMar>
    </w:tblPr>
  </w:style>
  <w:style w:type="table" w:styleId="Table393">
    <w:basedOn w:val="TableNormal"/>
    <w:tblPr>
      <w:tblStyleRowBandSize w:val="1"/>
      <w:tblStyleColBandSize w:val="1"/>
      <w:tblCellMar>
        <w:top w:w="100.0" w:type="dxa"/>
        <w:left w:w="100.0" w:type="dxa"/>
        <w:bottom w:w="100.0" w:type="dxa"/>
        <w:right w:w="100.0" w:type="dxa"/>
      </w:tblCellMar>
    </w:tblPr>
  </w:style>
  <w:style w:type="table" w:styleId="Table394">
    <w:basedOn w:val="TableNormal"/>
    <w:tblPr>
      <w:tblStyleRowBandSize w:val="1"/>
      <w:tblStyleColBandSize w:val="1"/>
      <w:tblCellMar>
        <w:top w:w="100.0" w:type="dxa"/>
        <w:left w:w="100.0" w:type="dxa"/>
        <w:bottom w:w="100.0" w:type="dxa"/>
        <w:right w:w="100.0" w:type="dxa"/>
      </w:tblCellMar>
    </w:tblPr>
  </w:style>
  <w:style w:type="table" w:styleId="Table395">
    <w:basedOn w:val="TableNormal"/>
    <w:tblPr>
      <w:tblStyleRowBandSize w:val="1"/>
      <w:tblStyleColBandSize w:val="1"/>
      <w:tblCellMar>
        <w:top w:w="100.0" w:type="dxa"/>
        <w:left w:w="100.0" w:type="dxa"/>
        <w:bottom w:w="100.0" w:type="dxa"/>
        <w:right w:w="100.0" w:type="dxa"/>
      </w:tblCellMar>
    </w:tblPr>
  </w:style>
  <w:style w:type="table" w:styleId="Table396">
    <w:basedOn w:val="TableNormal"/>
    <w:tblPr>
      <w:tblStyleRowBandSize w:val="1"/>
      <w:tblStyleColBandSize w:val="1"/>
      <w:tblCellMar>
        <w:top w:w="100.0" w:type="dxa"/>
        <w:left w:w="100.0" w:type="dxa"/>
        <w:bottom w:w="100.0" w:type="dxa"/>
        <w:right w:w="100.0" w:type="dxa"/>
      </w:tblCellMar>
    </w:tblPr>
  </w:style>
  <w:style w:type="table" w:styleId="Table397">
    <w:basedOn w:val="TableNormal"/>
    <w:tblPr>
      <w:tblStyleRowBandSize w:val="1"/>
      <w:tblStyleColBandSize w:val="1"/>
      <w:tblCellMar>
        <w:top w:w="100.0" w:type="dxa"/>
        <w:left w:w="100.0" w:type="dxa"/>
        <w:bottom w:w="100.0" w:type="dxa"/>
        <w:right w:w="100.0" w:type="dxa"/>
      </w:tblCellMar>
    </w:tblPr>
  </w:style>
  <w:style w:type="table" w:styleId="Table398">
    <w:basedOn w:val="TableNormal"/>
    <w:tblPr>
      <w:tblStyleRowBandSize w:val="1"/>
      <w:tblStyleColBandSize w:val="1"/>
      <w:tblCellMar>
        <w:top w:w="100.0" w:type="dxa"/>
        <w:left w:w="100.0" w:type="dxa"/>
        <w:bottom w:w="100.0" w:type="dxa"/>
        <w:right w:w="100.0" w:type="dxa"/>
      </w:tblCellMar>
    </w:tblPr>
  </w:style>
  <w:style w:type="table" w:styleId="Table399">
    <w:basedOn w:val="TableNormal"/>
    <w:tblPr>
      <w:tblStyleRowBandSize w:val="1"/>
      <w:tblStyleColBandSize w:val="1"/>
      <w:tblCellMar>
        <w:top w:w="100.0" w:type="dxa"/>
        <w:left w:w="100.0" w:type="dxa"/>
        <w:bottom w:w="100.0" w:type="dxa"/>
        <w:right w:w="100.0" w:type="dxa"/>
      </w:tblCellMar>
    </w:tblPr>
  </w:style>
  <w:style w:type="table" w:styleId="Table400">
    <w:basedOn w:val="TableNormal"/>
    <w:tblPr>
      <w:tblStyleRowBandSize w:val="1"/>
      <w:tblStyleColBandSize w:val="1"/>
      <w:tblCellMar>
        <w:top w:w="100.0" w:type="dxa"/>
        <w:left w:w="100.0" w:type="dxa"/>
        <w:bottom w:w="100.0" w:type="dxa"/>
        <w:right w:w="100.0" w:type="dxa"/>
      </w:tblCellMar>
    </w:tblPr>
  </w:style>
  <w:style w:type="table" w:styleId="Table401">
    <w:basedOn w:val="TableNormal"/>
    <w:tblPr>
      <w:tblStyleRowBandSize w:val="1"/>
      <w:tblStyleColBandSize w:val="1"/>
      <w:tblCellMar>
        <w:top w:w="100.0" w:type="dxa"/>
        <w:left w:w="100.0" w:type="dxa"/>
        <w:bottom w:w="100.0" w:type="dxa"/>
        <w:right w:w="100.0" w:type="dxa"/>
      </w:tblCellMar>
    </w:tblPr>
  </w:style>
  <w:style w:type="table" w:styleId="Table402">
    <w:basedOn w:val="TableNormal"/>
    <w:tblPr>
      <w:tblStyleRowBandSize w:val="1"/>
      <w:tblStyleColBandSize w:val="1"/>
      <w:tblCellMar>
        <w:top w:w="100.0" w:type="dxa"/>
        <w:left w:w="100.0" w:type="dxa"/>
        <w:bottom w:w="100.0" w:type="dxa"/>
        <w:right w:w="100.0" w:type="dxa"/>
      </w:tblCellMar>
    </w:tblPr>
  </w:style>
  <w:style w:type="table" w:styleId="Table403">
    <w:basedOn w:val="TableNormal"/>
    <w:tblPr>
      <w:tblStyleRowBandSize w:val="1"/>
      <w:tblStyleColBandSize w:val="1"/>
      <w:tblCellMar>
        <w:top w:w="100.0" w:type="dxa"/>
        <w:left w:w="100.0" w:type="dxa"/>
        <w:bottom w:w="100.0" w:type="dxa"/>
        <w:right w:w="100.0" w:type="dxa"/>
      </w:tblCellMar>
    </w:tblPr>
  </w:style>
  <w:style w:type="table" w:styleId="Table404">
    <w:basedOn w:val="TableNormal"/>
    <w:tblPr>
      <w:tblStyleRowBandSize w:val="1"/>
      <w:tblStyleColBandSize w:val="1"/>
      <w:tblCellMar>
        <w:top w:w="100.0" w:type="dxa"/>
        <w:left w:w="100.0" w:type="dxa"/>
        <w:bottom w:w="100.0" w:type="dxa"/>
        <w:right w:w="100.0" w:type="dxa"/>
      </w:tblCellMar>
    </w:tblPr>
  </w:style>
  <w:style w:type="table" w:styleId="Table405">
    <w:basedOn w:val="TableNormal"/>
    <w:tblPr>
      <w:tblStyleRowBandSize w:val="1"/>
      <w:tblStyleColBandSize w:val="1"/>
      <w:tblCellMar>
        <w:top w:w="100.0" w:type="dxa"/>
        <w:left w:w="100.0" w:type="dxa"/>
        <w:bottom w:w="100.0" w:type="dxa"/>
        <w:right w:w="100.0" w:type="dxa"/>
      </w:tblCellMar>
    </w:tblPr>
  </w:style>
  <w:style w:type="table" w:styleId="Table406">
    <w:basedOn w:val="TableNormal"/>
    <w:tblPr>
      <w:tblStyleRowBandSize w:val="1"/>
      <w:tblStyleColBandSize w:val="1"/>
      <w:tblCellMar>
        <w:top w:w="100.0" w:type="dxa"/>
        <w:left w:w="100.0" w:type="dxa"/>
        <w:bottom w:w="100.0" w:type="dxa"/>
        <w:right w:w="100.0" w:type="dxa"/>
      </w:tblCellMar>
    </w:tblPr>
  </w:style>
  <w:style w:type="table" w:styleId="Table407">
    <w:basedOn w:val="TableNormal"/>
    <w:tblPr>
      <w:tblStyleRowBandSize w:val="1"/>
      <w:tblStyleColBandSize w:val="1"/>
      <w:tblCellMar>
        <w:top w:w="100.0" w:type="dxa"/>
        <w:left w:w="100.0" w:type="dxa"/>
        <w:bottom w:w="100.0" w:type="dxa"/>
        <w:right w:w="100.0" w:type="dxa"/>
      </w:tblCellMar>
    </w:tblPr>
  </w:style>
  <w:style w:type="table" w:styleId="Table408">
    <w:basedOn w:val="TableNormal"/>
    <w:tblPr>
      <w:tblStyleRowBandSize w:val="1"/>
      <w:tblStyleColBandSize w:val="1"/>
      <w:tblCellMar>
        <w:top w:w="100.0" w:type="dxa"/>
        <w:left w:w="100.0" w:type="dxa"/>
        <w:bottom w:w="100.0" w:type="dxa"/>
        <w:right w:w="100.0" w:type="dxa"/>
      </w:tblCellMar>
    </w:tblPr>
  </w:style>
  <w:style w:type="table" w:styleId="Table409">
    <w:basedOn w:val="TableNormal"/>
    <w:tblPr>
      <w:tblStyleRowBandSize w:val="1"/>
      <w:tblStyleColBandSize w:val="1"/>
      <w:tblCellMar>
        <w:top w:w="100.0" w:type="dxa"/>
        <w:left w:w="100.0" w:type="dxa"/>
        <w:bottom w:w="100.0" w:type="dxa"/>
        <w:right w:w="100.0" w:type="dxa"/>
      </w:tblCellMar>
    </w:tblPr>
  </w:style>
  <w:style w:type="table" w:styleId="Table410">
    <w:basedOn w:val="TableNormal"/>
    <w:tblPr>
      <w:tblStyleRowBandSize w:val="1"/>
      <w:tblStyleColBandSize w:val="1"/>
      <w:tblCellMar>
        <w:top w:w="100.0" w:type="dxa"/>
        <w:left w:w="100.0" w:type="dxa"/>
        <w:bottom w:w="100.0" w:type="dxa"/>
        <w:right w:w="100.0" w:type="dxa"/>
      </w:tblCellMar>
    </w:tblPr>
  </w:style>
  <w:style w:type="table" w:styleId="Table411">
    <w:basedOn w:val="TableNormal"/>
    <w:tblPr>
      <w:tblStyleRowBandSize w:val="1"/>
      <w:tblStyleColBandSize w:val="1"/>
      <w:tblCellMar>
        <w:top w:w="100.0" w:type="dxa"/>
        <w:left w:w="100.0" w:type="dxa"/>
        <w:bottom w:w="100.0" w:type="dxa"/>
        <w:right w:w="100.0" w:type="dxa"/>
      </w:tblCellMar>
    </w:tblPr>
  </w:style>
  <w:style w:type="table" w:styleId="Table412">
    <w:basedOn w:val="TableNormal"/>
    <w:tblPr>
      <w:tblStyleRowBandSize w:val="1"/>
      <w:tblStyleColBandSize w:val="1"/>
      <w:tblCellMar>
        <w:top w:w="100.0" w:type="dxa"/>
        <w:left w:w="100.0" w:type="dxa"/>
        <w:bottom w:w="100.0" w:type="dxa"/>
        <w:right w:w="100.0" w:type="dxa"/>
      </w:tblCellMar>
    </w:tblPr>
  </w:style>
  <w:style w:type="table" w:styleId="Table413">
    <w:basedOn w:val="TableNormal"/>
    <w:tblPr>
      <w:tblStyleRowBandSize w:val="1"/>
      <w:tblStyleColBandSize w:val="1"/>
      <w:tblCellMar>
        <w:top w:w="100.0" w:type="dxa"/>
        <w:left w:w="100.0" w:type="dxa"/>
        <w:bottom w:w="100.0" w:type="dxa"/>
        <w:right w:w="100.0" w:type="dxa"/>
      </w:tblCellMar>
    </w:tblPr>
  </w:style>
  <w:style w:type="table" w:styleId="Table414">
    <w:basedOn w:val="TableNormal"/>
    <w:tblPr>
      <w:tblStyleRowBandSize w:val="1"/>
      <w:tblStyleColBandSize w:val="1"/>
      <w:tblCellMar>
        <w:top w:w="100.0" w:type="dxa"/>
        <w:left w:w="100.0" w:type="dxa"/>
        <w:bottom w:w="100.0" w:type="dxa"/>
        <w:right w:w="100.0" w:type="dxa"/>
      </w:tblCellMar>
    </w:tblPr>
  </w:style>
  <w:style w:type="table" w:styleId="Table415">
    <w:basedOn w:val="TableNormal"/>
    <w:tblPr>
      <w:tblStyleRowBandSize w:val="1"/>
      <w:tblStyleColBandSize w:val="1"/>
      <w:tblCellMar>
        <w:top w:w="100.0" w:type="dxa"/>
        <w:left w:w="100.0" w:type="dxa"/>
        <w:bottom w:w="100.0" w:type="dxa"/>
        <w:right w:w="100.0" w:type="dxa"/>
      </w:tblCellMar>
    </w:tblPr>
  </w:style>
  <w:style w:type="table" w:styleId="Table416">
    <w:basedOn w:val="TableNormal"/>
    <w:tblPr>
      <w:tblStyleRowBandSize w:val="1"/>
      <w:tblStyleColBandSize w:val="1"/>
      <w:tblCellMar>
        <w:top w:w="100.0" w:type="dxa"/>
        <w:left w:w="100.0" w:type="dxa"/>
        <w:bottom w:w="100.0" w:type="dxa"/>
        <w:right w:w="100.0" w:type="dxa"/>
      </w:tblCellMar>
    </w:tblPr>
  </w:style>
  <w:style w:type="table" w:styleId="Table417">
    <w:basedOn w:val="TableNormal"/>
    <w:tblPr>
      <w:tblStyleRowBandSize w:val="1"/>
      <w:tblStyleColBandSize w:val="1"/>
      <w:tblCellMar>
        <w:top w:w="100.0" w:type="dxa"/>
        <w:left w:w="100.0" w:type="dxa"/>
        <w:bottom w:w="100.0" w:type="dxa"/>
        <w:right w:w="100.0" w:type="dxa"/>
      </w:tblCellMar>
    </w:tblPr>
  </w:style>
  <w:style w:type="table" w:styleId="Table418">
    <w:basedOn w:val="TableNormal"/>
    <w:tblPr>
      <w:tblStyleRowBandSize w:val="1"/>
      <w:tblStyleColBandSize w:val="1"/>
      <w:tblCellMar>
        <w:top w:w="100.0" w:type="dxa"/>
        <w:left w:w="100.0" w:type="dxa"/>
        <w:bottom w:w="100.0" w:type="dxa"/>
        <w:right w:w="100.0" w:type="dxa"/>
      </w:tblCellMar>
    </w:tblPr>
  </w:style>
  <w:style w:type="table" w:styleId="Table419">
    <w:basedOn w:val="TableNormal"/>
    <w:tblPr>
      <w:tblStyleRowBandSize w:val="1"/>
      <w:tblStyleColBandSize w:val="1"/>
      <w:tblCellMar>
        <w:top w:w="100.0" w:type="dxa"/>
        <w:left w:w="100.0" w:type="dxa"/>
        <w:bottom w:w="100.0" w:type="dxa"/>
        <w:right w:w="100.0" w:type="dxa"/>
      </w:tblCellMar>
    </w:tblPr>
  </w:style>
  <w:style w:type="table" w:styleId="Table420">
    <w:basedOn w:val="TableNormal"/>
    <w:tblPr>
      <w:tblStyleRowBandSize w:val="1"/>
      <w:tblStyleColBandSize w:val="1"/>
      <w:tblCellMar>
        <w:top w:w="100.0" w:type="dxa"/>
        <w:left w:w="100.0" w:type="dxa"/>
        <w:bottom w:w="100.0" w:type="dxa"/>
        <w:right w:w="100.0" w:type="dxa"/>
      </w:tblCellMar>
    </w:tblPr>
  </w:style>
  <w:style w:type="table" w:styleId="Table421">
    <w:basedOn w:val="TableNormal"/>
    <w:tblPr>
      <w:tblStyleRowBandSize w:val="1"/>
      <w:tblStyleColBandSize w:val="1"/>
      <w:tblCellMar>
        <w:top w:w="100.0" w:type="dxa"/>
        <w:left w:w="100.0" w:type="dxa"/>
        <w:bottom w:w="100.0" w:type="dxa"/>
        <w:right w:w="100.0" w:type="dxa"/>
      </w:tblCellMar>
    </w:tblPr>
  </w:style>
  <w:style w:type="table" w:styleId="Table422">
    <w:basedOn w:val="TableNormal"/>
    <w:tblPr>
      <w:tblStyleRowBandSize w:val="1"/>
      <w:tblStyleColBandSize w:val="1"/>
      <w:tblCellMar>
        <w:top w:w="100.0" w:type="dxa"/>
        <w:left w:w="100.0" w:type="dxa"/>
        <w:bottom w:w="100.0" w:type="dxa"/>
        <w:right w:w="100.0" w:type="dxa"/>
      </w:tblCellMar>
    </w:tblPr>
  </w:style>
  <w:style w:type="table" w:styleId="Table423">
    <w:basedOn w:val="TableNormal"/>
    <w:tblPr>
      <w:tblStyleRowBandSize w:val="1"/>
      <w:tblStyleColBandSize w:val="1"/>
      <w:tblCellMar>
        <w:top w:w="100.0" w:type="dxa"/>
        <w:left w:w="100.0" w:type="dxa"/>
        <w:bottom w:w="100.0" w:type="dxa"/>
        <w:right w:w="100.0" w:type="dxa"/>
      </w:tblCellMar>
    </w:tblPr>
  </w:style>
  <w:style w:type="table" w:styleId="Table424">
    <w:basedOn w:val="TableNormal"/>
    <w:tblPr>
      <w:tblStyleRowBandSize w:val="1"/>
      <w:tblStyleColBandSize w:val="1"/>
      <w:tblCellMar>
        <w:top w:w="100.0" w:type="dxa"/>
        <w:left w:w="100.0" w:type="dxa"/>
        <w:bottom w:w="100.0" w:type="dxa"/>
        <w:right w:w="100.0" w:type="dxa"/>
      </w:tblCellMar>
    </w:tblPr>
  </w:style>
  <w:style w:type="table" w:styleId="Table425">
    <w:basedOn w:val="TableNormal"/>
    <w:tblPr>
      <w:tblStyleRowBandSize w:val="1"/>
      <w:tblStyleColBandSize w:val="1"/>
      <w:tblCellMar>
        <w:top w:w="100.0" w:type="dxa"/>
        <w:left w:w="100.0" w:type="dxa"/>
        <w:bottom w:w="100.0" w:type="dxa"/>
        <w:right w:w="100.0" w:type="dxa"/>
      </w:tblCellMar>
    </w:tblPr>
  </w:style>
  <w:style w:type="table" w:styleId="Table426">
    <w:basedOn w:val="TableNormal"/>
    <w:tblPr>
      <w:tblStyleRowBandSize w:val="1"/>
      <w:tblStyleColBandSize w:val="1"/>
      <w:tblCellMar>
        <w:top w:w="100.0" w:type="dxa"/>
        <w:left w:w="100.0" w:type="dxa"/>
        <w:bottom w:w="100.0" w:type="dxa"/>
        <w:right w:w="100.0" w:type="dxa"/>
      </w:tblCellMar>
    </w:tblPr>
  </w:style>
  <w:style w:type="table" w:styleId="Table427">
    <w:basedOn w:val="TableNormal"/>
    <w:tblPr>
      <w:tblStyleRowBandSize w:val="1"/>
      <w:tblStyleColBandSize w:val="1"/>
      <w:tblCellMar>
        <w:top w:w="100.0" w:type="dxa"/>
        <w:left w:w="100.0" w:type="dxa"/>
        <w:bottom w:w="100.0" w:type="dxa"/>
        <w:right w:w="100.0" w:type="dxa"/>
      </w:tblCellMar>
    </w:tblPr>
  </w:style>
  <w:style w:type="table" w:styleId="Table428">
    <w:basedOn w:val="TableNormal"/>
    <w:tblPr>
      <w:tblStyleRowBandSize w:val="1"/>
      <w:tblStyleColBandSize w:val="1"/>
      <w:tblCellMar>
        <w:top w:w="100.0" w:type="dxa"/>
        <w:left w:w="100.0" w:type="dxa"/>
        <w:bottom w:w="100.0" w:type="dxa"/>
        <w:right w:w="100.0" w:type="dxa"/>
      </w:tblCellMar>
    </w:tblPr>
  </w:style>
  <w:style w:type="table" w:styleId="Table429">
    <w:basedOn w:val="TableNormal"/>
    <w:tblPr>
      <w:tblStyleRowBandSize w:val="1"/>
      <w:tblStyleColBandSize w:val="1"/>
      <w:tblCellMar>
        <w:top w:w="100.0" w:type="dxa"/>
        <w:left w:w="100.0" w:type="dxa"/>
        <w:bottom w:w="100.0" w:type="dxa"/>
        <w:right w:w="100.0" w:type="dxa"/>
      </w:tblCellMar>
    </w:tblPr>
  </w:style>
  <w:style w:type="table" w:styleId="Table430">
    <w:basedOn w:val="TableNormal"/>
    <w:tblPr>
      <w:tblStyleRowBandSize w:val="1"/>
      <w:tblStyleColBandSize w:val="1"/>
      <w:tblCellMar>
        <w:top w:w="100.0" w:type="dxa"/>
        <w:left w:w="100.0" w:type="dxa"/>
        <w:bottom w:w="100.0" w:type="dxa"/>
        <w:right w:w="100.0" w:type="dxa"/>
      </w:tblCellMar>
    </w:tblPr>
  </w:style>
  <w:style w:type="table" w:styleId="Table431">
    <w:basedOn w:val="TableNormal"/>
    <w:tblPr>
      <w:tblStyleRowBandSize w:val="1"/>
      <w:tblStyleColBandSize w:val="1"/>
      <w:tblCellMar>
        <w:top w:w="100.0" w:type="dxa"/>
        <w:left w:w="100.0" w:type="dxa"/>
        <w:bottom w:w="100.0" w:type="dxa"/>
        <w:right w:w="100.0" w:type="dxa"/>
      </w:tblCellMar>
    </w:tblPr>
  </w:style>
  <w:style w:type="table" w:styleId="Table432">
    <w:basedOn w:val="TableNormal"/>
    <w:tblPr>
      <w:tblStyleRowBandSize w:val="1"/>
      <w:tblStyleColBandSize w:val="1"/>
      <w:tblCellMar>
        <w:top w:w="100.0" w:type="dxa"/>
        <w:left w:w="100.0" w:type="dxa"/>
        <w:bottom w:w="100.0" w:type="dxa"/>
        <w:right w:w="100.0" w:type="dxa"/>
      </w:tblCellMar>
    </w:tblPr>
  </w:style>
  <w:style w:type="table" w:styleId="Table433">
    <w:basedOn w:val="TableNormal"/>
    <w:tblPr>
      <w:tblStyleRowBandSize w:val="1"/>
      <w:tblStyleColBandSize w:val="1"/>
      <w:tblCellMar>
        <w:top w:w="100.0" w:type="dxa"/>
        <w:left w:w="100.0" w:type="dxa"/>
        <w:bottom w:w="100.0" w:type="dxa"/>
        <w:right w:w="100.0" w:type="dxa"/>
      </w:tblCellMar>
    </w:tblPr>
  </w:style>
  <w:style w:type="table" w:styleId="Table434">
    <w:basedOn w:val="TableNormal"/>
    <w:tblPr>
      <w:tblStyleRowBandSize w:val="1"/>
      <w:tblStyleColBandSize w:val="1"/>
      <w:tblCellMar>
        <w:top w:w="100.0" w:type="dxa"/>
        <w:left w:w="100.0" w:type="dxa"/>
        <w:bottom w:w="100.0" w:type="dxa"/>
        <w:right w:w="100.0" w:type="dxa"/>
      </w:tblCellMar>
    </w:tblPr>
  </w:style>
  <w:style w:type="table" w:styleId="Table435">
    <w:basedOn w:val="TableNormal"/>
    <w:tblPr>
      <w:tblStyleRowBandSize w:val="1"/>
      <w:tblStyleColBandSize w:val="1"/>
      <w:tblCellMar>
        <w:top w:w="100.0" w:type="dxa"/>
        <w:left w:w="100.0" w:type="dxa"/>
        <w:bottom w:w="100.0" w:type="dxa"/>
        <w:right w:w="100.0" w:type="dxa"/>
      </w:tblCellMar>
    </w:tblPr>
  </w:style>
  <w:style w:type="table" w:styleId="Table436">
    <w:basedOn w:val="TableNormal"/>
    <w:tblPr>
      <w:tblStyleRowBandSize w:val="1"/>
      <w:tblStyleColBandSize w:val="1"/>
      <w:tblCellMar>
        <w:top w:w="100.0" w:type="dxa"/>
        <w:left w:w="100.0" w:type="dxa"/>
        <w:bottom w:w="100.0" w:type="dxa"/>
        <w:right w:w="100.0" w:type="dxa"/>
      </w:tblCellMar>
    </w:tblPr>
  </w:style>
  <w:style w:type="table" w:styleId="Table437">
    <w:basedOn w:val="TableNormal"/>
    <w:tblPr>
      <w:tblStyleRowBandSize w:val="1"/>
      <w:tblStyleColBandSize w:val="1"/>
      <w:tblCellMar>
        <w:top w:w="100.0" w:type="dxa"/>
        <w:left w:w="100.0" w:type="dxa"/>
        <w:bottom w:w="100.0" w:type="dxa"/>
        <w:right w:w="100.0" w:type="dxa"/>
      </w:tblCellMar>
    </w:tblPr>
  </w:style>
  <w:style w:type="table" w:styleId="Table438">
    <w:basedOn w:val="TableNormal"/>
    <w:tblPr>
      <w:tblStyleRowBandSize w:val="1"/>
      <w:tblStyleColBandSize w:val="1"/>
      <w:tblCellMar>
        <w:top w:w="100.0" w:type="dxa"/>
        <w:left w:w="100.0" w:type="dxa"/>
        <w:bottom w:w="100.0" w:type="dxa"/>
        <w:right w:w="100.0" w:type="dxa"/>
      </w:tblCellMar>
    </w:tblPr>
  </w:style>
  <w:style w:type="table" w:styleId="Table439">
    <w:basedOn w:val="TableNormal"/>
    <w:tblPr>
      <w:tblStyleRowBandSize w:val="1"/>
      <w:tblStyleColBandSize w:val="1"/>
      <w:tblCellMar>
        <w:top w:w="100.0" w:type="dxa"/>
        <w:left w:w="100.0" w:type="dxa"/>
        <w:bottom w:w="100.0" w:type="dxa"/>
        <w:right w:w="100.0" w:type="dxa"/>
      </w:tblCellMar>
    </w:tblPr>
  </w:style>
  <w:style w:type="table" w:styleId="Table440">
    <w:basedOn w:val="TableNormal"/>
    <w:tblPr>
      <w:tblStyleRowBandSize w:val="1"/>
      <w:tblStyleColBandSize w:val="1"/>
      <w:tblCellMar>
        <w:top w:w="100.0" w:type="dxa"/>
        <w:left w:w="100.0" w:type="dxa"/>
        <w:bottom w:w="100.0" w:type="dxa"/>
        <w:right w:w="100.0" w:type="dxa"/>
      </w:tblCellMar>
    </w:tblPr>
  </w:style>
  <w:style w:type="table" w:styleId="Table441">
    <w:basedOn w:val="TableNormal"/>
    <w:tblPr>
      <w:tblStyleRowBandSize w:val="1"/>
      <w:tblStyleColBandSize w:val="1"/>
      <w:tblCellMar>
        <w:top w:w="100.0" w:type="dxa"/>
        <w:left w:w="100.0" w:type="dxa"/>
        <w:bottom w:w="100.0" w:type="dxa"/>
        <w:right w:w="100.0" w:type="dxa"/>
      </w:tblCellMar>
    </w:tblPr>
  </w:style>
  <w:style w:type="table" w:styleId="Table442">
    <w:basedOn w:val="TableNormal"/>
    <w:tblPr>
      <w:tblStyleRowBandSize w:val="1"/>
      <w:tblStyleColBandSize w:val="1"/>
      <w:tblCellMar>
        <w:top w:w="100.0" w:type="dxa"/>
        <w:left w:w="100.0" w:type="dxa"/>
        <w:bottom w:w="100.0" w:type="dxa"/>
        <w:right w:w="100.0" w:type="dxa"/>
      </w:tblCellMar>
    </w:tblPr>
  </w:style>
  <w:style w:type="table" w:styleId="Table443">
    <w:basedOn w:val="TableNormal"/>
    <w:tblPr>
      <w:tblStyleRowBandSize w:val="1"/>
      <w:tblStyleColBandSize w:val="1"/>
      <w:tblCellMar>
        <w:top w:w="100.0" w:type="dxa"/>
        <w:left w:w="100.0" w:type="dxa"/>
        <w:bottom w:w="100.0" w:type="dxa"/>
        <w:right w:w="100.0" w:type="dxa"/>
      </w:tblCellMar>
    </w:tblPr>
  </w:style>
  <w:style w:type="table" w:styleId="Table444">
    <w:basedOn w:val="TableNormal"/>
    <w:tblPr>
      <w:tblStyleRowBandSize w:val="1"/>
      <w:tblStyleColBandSize w:val="1"/>
      <w:tblCellMar>
        <w:top w:w="100.0" w:type="dxa"/>
        <w:left w:w="100.0" w:type="dxa"/>
        <w:bottom w:w="100.0" w:type="dxa"/>
        <w:right w:w="100.0" w:type="dxa"/>
      </w:tblCellMar>
    </w:tblPr>
  </w:style>
  <w:style w:type="table" w:styleId="Table445">
    <w:basedOn w:val="TableNormal"/>
    <w:tblPr>
      <w:tblStyleRowBandSize w:val="1"/>
      <w:tblStyleColBandSize w:val="1"/>
      <w:tblCellMar>
        <w:top w:w="100.0" w:type="dxa"/>
        <w:left w:w="100.0" w:type="dxa"/>
        <w:bottom w:w="100.0" w:type="dxa"/>
        <w:right w:w="100.0" w:type="dxa"/>
      </w:tblCellMar>
    </w:tblPr>
  </w:style>
  <w:style w:type="table" w:styleId="Table446">
    <w:basedOn w:val="TableNormal"/>
    <w:tblPr>
      <w:tblStyleRowBandSize w:val="1"/>
      <w:tblStyleColBandSize w:val="1"/>
      <w:tblCellMar>
        <w:top w:w="100.0" w:type="dxa"/>
        <w:left w:w="100.0" w:type="dxa"/>
        <w:bottom w:w="100.0" w:type="dxa"/>
        <w:right w:w="100.0" w:type="dxa"/>
      </w:tblCellMar>
    </w:tblPr>
  </w:style>
  <w:style w:type="table" w:styleId="Table447">
    <w:basedOn w:val="TableNormal"/>
    <w:tblPr>
      <w:tblStyleRowBandSize w:val="1"/>
      <w:tblStyleColBandSize w:val="1"/>
      <w:tblCellMar>
        <w:top w:w="100.0" w:type="dxa"/>
        <w:left w:w="100.0" w:type="dxa"/>
        <w:bottom w:w="100.0" w:type="dxa"/>
        <w:right w:w="100.0" w:type="dxa"/>
      </w:tblCellMar>
    </w:tblPr>
  </w:style>
  <w:style w:type="table" w:styleId="Table448">
    <w:basedOn w:val="TableNormal"/>
    <w:tblPr>
      <w:tblStyleRowBandSize w:val="1"/>
      <w:tblStyleColBandSize w:val="1"/>
      <w:tblCellMar>
        <w:top w:w="100.0" w:type="dxa"/>
        <w:left w:w="100.0" w:type="dxa"/>
        <w:bottom w:w="100.0" w:type="dxa"/>
        <w:right w:w="100.0" w:type="dxa"/>
      </w:tblCellMar>
    </w:tblPr>
  </w:style>
  <w:style w:type="table" w:styleId="Table449">
    <w:basedOn w:val="TableNormal"/>
    <w:tblPr>
      <w:tblStyleRowBandSize w:val="1"/>
      <w:tblStyleColBandSize w:val="1"/>
      <w:tblCellMar>
        <w:top w:w="100.0" w:type="dxa"/>
        <w:left w:w="100.0" w:type="dxa"/>
        <w:bottom w:w="100.0" w:type="dxa"/>
        <w:right w:w="100.0" w:type="dxa"/>
      </w:tblCellMar>
    </w:tblPr>
  </w:style>
  <w:style w:type="table" w:styleId="Table450">
    <w:basedOn w:val="TableNormal"/>
    <w:tblPr>
      <w:tblStyleRowBandSize w:val="1"/>
      <w:tblStyleColBandSize w:val="1"/>
      <w:tblCellMar>
        <w:top w:w="100.0" w:type="dxa"/>
        <w:left w:w="100.0" w:type="dxa"/>
        <w:bottom w:w="100.0" w:type="dxa"/>
        <w:right w:w="100.0" w:type="dxa"/>
      </w:tblCellMar>
    </w:tblPr>
  </w:style>
  <w:style w:type="table" w:styleId="Table451">
    <w:basedOn w:val="TableNormal"/>
    <w:tblPr>
      <w:tblStyleRowBandSize w:val="1"/>
      <w:tblStyleColBandSize w:val="1"/>
      <w:tblCellMar>
        <w:top w:w="100.0" w:type="dxa"/>
        <w:left w:w="100.0" w:type="dxa"/>
        <w:bottom w:w="100.0" w:type="dxa"/>
        <w:right w:w="100.0" w:type="dxa"/>
      </w:tblCellMar>
    </w:tblPr>
  </w:style>
  <w:style w:type="table" w:styleId="Table452">
    <w:basedOn w:val="TableNormal"/>
    <w:tblPr>
      <w:tblStyleRowBandSize w:val="1"/>
      <w:tblStyleColBandSize w:val="1"/>
      <w:tblCellMar>
        <w:top w:w="100.0" w:type="dxa"/>
        <w:left w:w="100.0" w:type="dxa"/>
        <w:bottom w:w="100.0" w:type="dxa"/>
        <w:right w:w="100.0" w:type="dxa"/>
      </w:tblCellMar>
    </w:tblPr>
  </w:style>
  <w:style w:type="table" w:styleId="Table453">
    <w:basedOn w:val="TableNormal"/>
    <w:tblPr>
      <w:tblStyleRowBandSize w:val="1"/>
      <w:tblStyleColBandSize w:val="1"/>
      <w:tblCellMar>
        <w:top w:w="100.0" w:type="dxa"/>
        <w:left w:w="100.0" w:type="dxa"/>
        <w:bottom w:w="100.0" w:type="dxa"/>
        <w:right w:w="100.0" w:type="dxa"/>
      </w:tblCellMar>
    </w:tblPr>
  </w:style>
  <w:style w:type="table" w:styleId="Table454">
    <w:basedOn w:val="TableNormal"/>
    <w:tblPr>
      <w:tblStyleRowBandSize w:val="1"/>
      <w:tblStyleColBandSize w:val="1"/>
      <w:tblCellMar>
        <w:top w:w="100.0" w:type="dxa"/>
        <w:left w:w="100.0" w:type="dxa"/>
        <w:bottom w:w="100.0" w:type="dxa"/>
        <w:right w:w="100.0" w:type="dxa"/>
      </w:tblCellMar>
    </w:tblPr>
  </w:style>
  <w:style w:type="table" w:styleId="Table455">
    <w:basedOn w:val="TableNormal"/>
    <w:tblPr>
      <w:tblStyleRowBandSize w:val="1"/>
      <w:tblStyleColBandSize w:val="1"/>
      <w:tblCellMar>
        <w:top w:w="100.0" w:type="dxa"/>
        <w:left w:w="100.0" w:type="dxa"/>
        <w:bottom w:w="100.0" w:type="dxa"/>
        <w:right w:w="100.0" w:type="dxa"/>
      </w:tblCellMar>
    </w:tblPr>
  </w:style>
  <w:style w:type="table" w:styleId="Table456">
    <w:basedOn w:val="TableNormal"/>
    <w:tblPr>
      <w:tblStyleRowBandSize w:val="1"/>
      <w:tblStyleColBandSize w:val="1"/>
      <w:tblCellMar>
        <w:top w:w="100.0" w:type="dxa"/>
        <w:left w:w="100.0" w:type="dxa"/>
        <w:bottom w:w="100.0" w:type="dxa"/>
        <w:right w:w="100.0" w:type="dxa"/>
      </w:tblCellMar>
    </w:tblPr>
  </w:style>
  <w:style w:type="table" w:styleId="Table457">
    <w:basedOn w:val="TableNormal"/>
    <w:tblPr>
      <w:tblStyleRowBandSize w:val="1"/>
      <w:tblStyleColBandSize w:val="1"/>
      <w:tblCellMar>
        <w:top w:w="100.0" w:type="dxa"/>
        <w:left w:w="100.0" w:type="dxa"/>
        <w:bottom w:w="100.0" w:type="dxa"/>
        <w:right w:w="100.0" w:type="dxa"/>
      </w:tblCellMar>
    </w:tblPr>
  </w:style>
  <w:style w:type="table" w:styleId="Table458">
    <w:basedOn w:val="TableNormal"/>
    <w:tblPr>
      <w:tblStyleRowBandSize w:val="1"/>
      <w:tblStyleColBandSize w:val="1"/>
      <w:tblCellMar>
        <w:top w:w="100.0" w:type="dxa"/>
        <w:left w:w="100.0" w:type="dxa"/>
        <w:bottom w:w="100.0" w:type="dxa"/>
        <w:right w:w="100.0" w:type="dxa"/>
      </w:tblCellMar>
    </w:tblPr>
  </w:style>
  <w:style w:type="table" w:styleId="Table459">
    <w:basedOn w:val="TableNormal"/>
    <w:tblPr>
      <w:tblStyleRowBandSize w:val="1"/>
      <w:tblStyleColBandSize w:val="1"/>
      <w:tblCellMar>
        <w:top w:w="100.0" w:type="dxa"/>
        <w:left w:w="100.0" w:type="dxa"/>
        <w:bottom w:w="100.0" w:type="dxa"/>
        <w:right w:w="100.0" w:type="dxa"/>
      </w:tblCellMar>
    </w:tblPr>
  </w:style>
  <w:style w:type="table" w:styleId="Table460">
    <w:basedOn w:val="TableNormal"/>
    <w:tblPr>
      <w:tblStyleRowBandSize w:val="1"/>
      <w:tblStyleColBandSize w:val="1"/>
      <w:tblCellMar>
        <w:top w:w="100.0" w:type="dxa"/>
        <w:left w:w="100.0" w:type="dxa"/>
        <w:bottom w:w="100.0" w:type="dxa"/>
        <w:right w:w="100.0" w:type="dxa"/>
      </w:tblCellMar>
    </w:tblPr>
  </w:style>
  <w:style w:type="table" w:styleId="Table461">
    <w:basedOn w:val="TableNormal"/>
    <w:tblPr>
      <w:tblStyleRowBandSize w:val="1"/>
      <w:tblStyleColBandSize w:val="1"/>
      <w:tblCellMar>
        <w:top w:w="100.0" w:type="dxa"/>
        <w:left w:w="100.0" w:type="dxa"/>
        <w:bottom w:w="100.0" w:type="dxa"/>
        <w:right w:w="100.0" w:type="dxa"/>
      </w:tblCellMar>
    </w:tblPr>
  </w:style>
  <w:style w:type="table" w:styleId="Table462">
    <w:basedOn w:val="TableNormal"/>
    <w:tblPr>
      <w:tblStyleRowBandSize w:val="1"/>
      <w:tblStyleColBandSize w:val="1"/>
      <w:tblCellMar>
        <w:top w:w="100.0" w:type="dxa"/>
        <w:left w:w="100.0" w:type="dxa"/>
        <w:bottom w:w="100.0" w:type="dxa"/>
        <w:right w:w="100.0" w:type="dxa"/>
      </w:tblCellMar>
    </w:tblPr>
  </w:style>
  <w:style w:type="table" w:styleId="Table463">
    <w:basedOn w:val="TableNormal"/>
    <w:tblPr>
      <w:tblStyleRowBandSize w:val="1"/>
      <w:tblStyleColBandSize w:val="1"/>
      <w:tblCellMar>
        <w:top w:w="100.0" w:type="dxa"/>
        <w:left w:w="100.0" w:type="dxa"/>
        <w:bottom w:w="100.0" w:type="dxa"/>
        <w:right w:w="100.0" w:type="dxa"/>
      </w:tblCellMar>
    </w:tblPr>
  </w:style>
  <w:style w:type="table" w:styleId="Table464">
    <w:basedOn w:val="TableNormal"/>
    <w:tblPr>
      <w:tblStyleRowBandSize w:val="1"/>
      <w:tblStyleColBandSize w:val="1"/>
      <w:tblCellMar>
        <w:top w:w="100.0" w:type="dxa"/>
        <w:left w:w="100.0" w:type="dxa"/>
        <w:bottom w:w="100.0" w:type="dxa"/>
        <w:right w:w="100.0" w:type="dxa"/>
      </w:tblCellMar>
    </w:tblPr>
  </w:style>
  <w:style w:type="table" w:styleId="Table465">
    <w:basedOn w:val="TableNormal"/>
    <w:tblPr>
      <w:tblStyleRowBandSize w:val="1"/>
      <w:tblStyleColBandSize w:val="1"/>
      <w:tblCellMar>
        <w:top w:w="100.0" w:type="dxa"/>
        <w:left w:w="100.0" w:type="dxa"/>
        <w:bottom w:w="100.0" w:type="dxa"/>
        <w:right w:w="100.0" w:type="dxa"/>
      </w:tblCellMar>
    </w:tblPr>
  </w:style>
  <w:style w:type="table" w:styleId="Table466">
    <w:basedOn w:val="TableNormal"/>
    <w:tblPr>
      <w:tblStyleRowBandSize w:val="1"/>
      <w:tblStyleColBandSize w:val="1"/>
      <w:tblCellMar>
        <w:top w:w="100.0" w:type="dxa"/>
        <w:left w:w="100.0" w:type="dxa"/>
        <w:bottom w:w="100.0" w:type="dxa"/>
        <w:right w:w="100.0" w:type="dxa"/>
      </w:tblCellMar>
    </w:tblPr>
  </w:style>
  <w:style w:type="table" w:styleId="Table467">
    <w:basedOn w:val="TableNormal"/>
    <w:tblPr>
      <w:tblStyleRowBandSize w:val="1"/>
      <w:tblStyleColBandSize w:val="1"/>
      <w:tblCellMar>
        <w:top w:w="100.0" w:type="dxa"/>
        <w:left w:w="100.0" w:type="dxa"/>
        <w:bottom w:w="100.0" w:type="dxa"/>
        <w:right w:w="100.0" w:type="dxa"/>
      </w:tblCellMar>
    </w:tblPr>
  </w:style>
  <w:style w:type="table" w:styleId="Table468">
    <w:basedOn w:val="TableNormal"/>
    <w:tblPr>
      <w:tblStyleRowBandSize w:val="1"/>
      <w:tblStyleColBandSize w:val="1"/>
      <w:tblCellMar>
        <w:top w:w="100.0" w:type="dxa"/>
        <w:left w:w="100.0" w:type="dxa"/>
        <w:bottom w:w="100.0" w:type="dxa"/>
        <w:right w:w="100.0" w:type="dxa"/>
      </w:tblCellMar>
    </w:tblPr>
  </w:style>
  <w:style w:type="table" w:styleId="Table469">
    <w:basedOn w:val="TableNormal"/>
    <w:tblPr>
      <w:tblStyleRowBandSize w:val="1"/>
      <w:tblStyleColBandSize w:val="1"/>
      <w:tblCellMar>
        <w:top w:w="100.0" w:type="dxa"/>
        <w:left w:w="100.0" w:type="dxa"/>
        <w:bottom w:w="100.0" w:type="dxa"/>
        <w:right w:w="100.0" w:type="dxa"/>
      </w:tblCellMar>
    </w:tblPr>
  </w:style>
  <w:style w:type="table" w:styleId="Table470">
    <w:basedOn w:val="TableNormal"/>
    <w:tblPr>
      <w:tblStyleRowBandSize w:val="1"/>
      <w:tblStyleColBandSize w:val="1"/>
      <w:tblCellMar>
        <w:top w:w="100.0" w:type="dxa"/>
        <w:left w:w="100.0" w:type="dxa"/>
        <w:bottom w:w="100.0" w:type="dxa"/>
        <w:right w:w="100.0" w:type="dxa"/>
      </w:tblCellMar>
    </w:tblPr>
  </w:style>
  <w:style w:type="table" w:styleId="Table471">
    <w:basedOn w:val="TableNormal"/>
    <w:tblPr>
      <w:tblStyleRowBandSize w:val="1"/>
      <w:tblStyleColBandSize w:val="1"/>
      <w:tblCellMar>
        <w:top w:w="100.0" w:type="dxa"/>
        <w:left w:w="100.0" w:type="dxa"/>
        <w:bottom w:w="100.0" w:type="dxa"/>
        <w:right w:w="100.0" w:type="dxa"/>
      </w:tblCellMar>
    </w:tblPr>
  </w:style>
  <w:style w:type="table" w:styleId="Table472">
    <w:basedOn w:val="TableNormal"/>
    <w:tblPr>
      <w:tblStyleRowBandSize w:val="1"/>
      <w:tblStyleColBandSize w:val="1"/>
      <w:tblCellMar>
        <w:top w:w="100.0" w:type="dxa"/>
        <w:left w:w="100.0" w:type="dxa"/>
        <w:bottom w:w="100.0" w:type="dxa"/>
        <w:right w:w="100.0" w:type="dxa"/>
      </w:tblCellMar>
    </w:tblPr>
  </w:style>
  <w:style w:type="table" w:styleId="Table473">
    <w:basedOn w:val="TableNormal"/>
    <w:tblPr>
      <w:tblStyleRowBandSize w:val="1"/>
      <w:tblStyleColBandSize w:val="1"/>
      <w:tblCellMar>
        <w:top w:w="100.0" w:type="dxa"/>
        <w:left w:w="100.0" w:type="dxa"/>
        <w:bottom w:w="100.0" w:type="dxa"/>
        <w:right w:w="100.0" w:type="dxa"/>
      </w:tblCellMar>
    </w:tblPr>
  </w:style>
  <w:style w:type="table" w:styleId="Table474">
    <w:basedOn w:val="TableNormal"/>
    <w:tblPr>
      <w:tblStyleRowBandSize w:val="1"/>
      <w:tblStyleColBandSize w:val="1"/>
      <w:tblCellMar>
        <w:top w:w="100.0" w:type="dxa"/>
        <w:left w:w="100.0" w:type="dxa"/>
        <w:bottom w:w="100.0" w:type="dxa"/>
        <w:right w:w="100.0" w:type="dxa"/>
      </w:tblCellMar>
    </w:tblPr>
  </w:style>
  <w:style w:type="table" w:styleId="Table475">
    <w:basedOn w:val="TableNormal"/>
    <w:tblPr>
      <w:tblStyleRowBandSize w:val="1"/>
      <w:tblStyleColBandSize w:val="1"/>
      <w:tblCellMar>
        <w:top w:w="100.0" w:type="dxa"/>
        <w:left w:w="100.0" w:type="dxa"/>
        <w:bottom w:w="100.0" w:type="dxa"/>
        <w:right w:w="100.0" w:type="dxa"/>
      </w:tblCellMar>
    </w:tblPr>
  </w:style>
  <w:style w:type="table" w:styleId="Table476">
    <w:basedOn w:val="TableNormal"/>
    <w:tblPr>
      <w:tblStyleRowBandSize w:val="1"/>
      <w:tblStyleColBandSize w:val="1"/>
      <w:tblCellMar>
        <w:top w:w="100.0" w:type="dxa"/>
        <w:left w:w="100.0" w:type="dxa"/>
        <w:bottom w:w="100.0" w:type="dxa"/>
        <w:right w:w="100.0" w:type="dxa"/>
      </w:tblCellMar>
    </w:tblPr>
  </w:style>
  <w:style w:type="table" w:styleId="Table477">
    <w:basedOn w:val="TableNormal"/>
    <w:tblPr>
      <w:tblStyleRowBandSize w:val="1"/>
      <w:tblStyleColBandSize w:val="1"/>
      <w:tblCellMar>
        <w:top w:w="100.0" w:type="dxa"/>
        <w:left w:w="100.0" w:type="dxa"/>
        <w:bottom w:w="100.0" w:type="dxa"/>
        <w:right w:w="100.0" w:type="dxa"/>
      </w:tblCellMar>
    </w:tblPr>
  </w:style>
  <w:style w:type="table" w:styleId="Table478">
    <w:basedOn w:val="TableNormal"/>
    <w:tblPr>
      <w:tblStyleRowBandSize w:val="1"/>
      <w:tblStyleColBandSize w:val="1"/>
      <w:tblCellMar>
        <w:top w:w="100.0" w:type="dxa"/>
        <w:left w:w="100.0" w:type="dxa"/>
        <w:bottom w:w="100.0" w:type="dxa"/>
        <w:right w:w="100.0" w:type="dxa"/>
      </w:tblCellMar>
    </w:tblPr>
  </w:style>
  <w:style w:type="table" w:styleId="Table479">
    <w:basedOn w:val="TableNormal"/>
    <w:tblPr>
      <w:tblStyleRowBandSize w:val="1"/>
      <w:tblStyleColBandSize w:val="1"/>
      <w:tblCellMar>
        <w:top w:w="100.0" w:type="dxa"/>
        <w:left w:w="100.0" w:type="dxa"/>
        <w:bottom w:w="100.0" w:type="dxa"/>
        <w:right w:w="100.0" w:type="dxa"/>
      </w:tblCellMar>
    </w:tblPr>
  </w:style>
  <w:style w:type="table" w:styleId="Table480">
    <w:basedOn w:val="TableNormal"/>
    <w:tblPr>
      <w:tblStyleRowBandSize w:val="1"/>
      <w:tblStyleColBandSize w:val="1"/>
      <w:tblCellMar>
        <w:top w:w="100.0" w:type="dxa"/>
        <w:left w:w="100.0" w:type="dxa"/>
        <w:bottom w:w="100.0" w:type="dxa"/>
        <w:right w:w="100.0" w:type="dxa"/>
      </w:tblCellMar>
    </w:tblPr>
  </w:style>
  <w:style w:type="table" w:styleId="Table481">
    <w:basedOn w:val="TableNormal"/>
    <w:tblPr>
      <w:tblStyleRowBandSize w:val="1"/>
      <w:tblStyleColBandSize w:val="1"/>
      <w:tblCellMar>
        <w:top w:w="100.0" w:type="dxa"/>
        <w:left w:w="100.0" w:type="dxa"/>
        <w:bottom w:w="100.0" w:type="dxa"/>
        <w:right w:w="100.0" w:type="dxa"/>
      </w:tblCellMar>
    </w:tblPr>
  </w:style>
  <w:style w:type="table" w:styleId="Table482">
    <w:basedOn w:val="TableNormal"/>
    <w:tblPr>
      <w:tblStyleRowBandSize w:val="1"/>
      <w:tblStyleColBandSize w:val="1"/>
      <w:tblCellMar>
        <w:top w:w="100.0" w:type="dxa"/>
        <w:left w:w="100.0" w:type="dxa"/>
        <w:bottom w:w="100.0" w:type="dxa"/>
        <w:right w:w="100.0" w:type="dxa"/>
      </w:tblCellMar>
    </w:tblPr>
  </w:style>
  <w:style w:type="table" w:styleId="Table483">
    <w:basedOn w:val="TableNormal"/>
    <w:tblPr>
      <w:tblStyleRowBandSize w:val="1"/>
      <w:tblStyleColBandSize w:val="1"/>
      <w:tblCellMar>
        <w:top w:w="100.0" w:type="dxa"/>
        <w:left w:w="100.0" w:type="dxa"/>
        <w:bottom w:w="100.0" w:type="dxa"/>
        <w:right w:w="100.0" w:type="dxa"/>
      </w:tblCellMar>
    </w:tblPr>
  </w:style>
  <w:style w:type="table" w:styleId="Table484">
    <w:basedOn w:val="TableNormal"/>
    <w:tblPr>
      <w:tblStyleRowBandSize w:val="1"/>
      <w:tblStyleColBandSize w:val="1"/>
      <w:tblCellMar>
        <w:top w:w="100.0" w:type="dxa"/>
        <w:left w:w="100.0" w:type="dxa"/>
        <w:bottom w:w="100.0" w:type="dxa"/>
        <w:right w:w="100.0" w:type="dxa"/>
      </w:tblCellMar>
    </w:tblPr>
  </w:style>
  <w:style w:type="table" w:styleId="Table485">
    <w:basedOn w:val="TableNormal"/>
    <w:tblPr>
      <w:tblStyleRowBandSize w:val="1"/>
      <w:tblStyleColBandSize w:val="1"/>
      <w:tblCellMar>
        <w:top w:w="100.0" w:type="dxa"/>
        <w:left w:w="100.0" w:type="dxa"/>
        <w:bottom w:w="100.0" w:type="dxa"/>
        <w:right w:w="100.0" w:type="dxa"/>
      </w:tblCellMar>
    </w:tblPr>
  </w:style>
  <w:style w:type="table" w:styleId="Table486">
    <w:basedOn w:val="TableNormal"/>
    <w:tblPr>
      <w:tblStyleRowBandSize w:val="1"/>
      <w:tblStyleColBandSize w:val="1"/>
      <w:tblCellMar>
        <w:top w:w="100.0" w:type="dxa"/>
        <w:left w:w="100.0" w:type="dxa"/>
        <w:bottom w:w="100.0" w:type="dxa"/>
        <w:right w:w="100.0" w:type="dxa"/>
      </w:tblCellMar>
    </w:tblPr>
  </w:style>
  <w:style w:type="table" w:styleId="Table487">
    <w:basedOn w:val="TableNormal"/>
    <w:tblPr>
      <w:tblStyleRowBandSize w:val="1"/>
      <w:tblStyleColBandSize w:val="1"/>
      <w:tblCellMar>
        <w:top w:w="100.0" w:type="dxa"/>
        <w:left w:w="100.0" w:type="dxa"/>
        <w:bottom w:w="100.0" w:type="dxa"/>
        <w:right w:w="100.0" w:type="dxa"/>
      </w:tblCellMar>
    </w:tblPr>
  </w:style>
  <w:style w:type="table" w:styleId="Table488">
    <w:basedOn w:val="TableNormal"/>
    <w:tblPr>
      <w:tblStyleRowBandSize w:val="1"/>
      <w:tblStyleColBandSize w:val="1"/>
      <w:tblCellMar>
        <w:top w:w="100.0" w:type="dxa"/>
        <w:left w:w="100.0" w:type="dxa"/>
        <w:bottom w:w="100.0" w:type="dxa"/>
        <w:right w:w="100.0" w:type="dxa"/>
      </w:tblCellMar>
    </w:tblPr>
  </w:style>
  <w:style w:type="table" w:styleId="Table489">
    <w:basedOn w:val="TableNormal"/>
    <w:tblPr>
      <w:tblStyleRowBandSize w:val="1"/>
      <w:tblStyleColBandSize w:val="1"/>
      <w:tblCellMar>
        <w:top w:w="100.0" w:type="dxa"/>
        <w:left w:w="100.0" w:type="dxa"/>
        <w:bottom w:w="100.0" w:type="dxa"/>
        <w:right w:w="100.0" w:type="dxa"/>
      </w:tblCellMar>
    </w:tblPr>
  </w:style>
  <w:style w:type="table" w:styleId="Table490">
    <w:basedOn w:val="TableNormal"/>
    <w:tblPr>
      <w:tblStyleRowBandSize w:val="1"/>
      <w:tblStyleColBandSize w:val="1"/>
      <w:tblCellMar>
        <w:top w:w="100.0" w:type="dxa"/>
        <w:left w:w="100.0" w:type="dxa"/>
        <w:bottom w:w="100.0" w:type="dxa"/>
        <w:right w:w="100.0" w:type="dxa"/>
      </w:tblCellMar>
    </w:tblPr>
  </w:style>
  <w:style w:type="table" w:styleId="Table491">
    <w:basedOn w:val="TableNormal"/>
    <w:tblPr>
      <w:tblStyleRowBandSize w:val="1"/>
      <w:tblStyleColBandSize w:val="1"/>
      <w:tblCellMar>
        <w:top w:w="100.0" w:type="dxa"/>
        <w:left w:w="100.0" w:type="dxa"/>
        <w:bottom w:w="100.0" w:type="dxa"/>
        <w:right w:w="100.0" w:type="dxa"/>
      </w:tblCellMar>
    </w:tblPr>
  </w:style>
  <w:style w:type="table" w:styleId="Table492">
    <w:basedOn w:val="TableNormal"/>
    <w:tblPr>
      <w:tblStyleRowBandSize w:val="1"/>
      <w:tblStyleColBandSize w:val="1"/>
      <w:tblCellMar>
        <w:top w:w="100.0" w:type="dxa"/>
        <w:left w:w="100.0" w:type="dxa"/>
        <w:bottom w:w="100.0" w:type="dxa"/>
        <w:right w:w="100.0" w:type="dxa"/>
      </w:tblCellMar>
    </w:tblPr>
  </w:style>
  <w:style w:type="table" w:styleId="Table493">
    <w:basedOn w:val="TableNormal"/>
    <w:tblPr>
      <w:tblStyleRowBandSize w:val="1"/>
      <w:tblStyleColBandSize w:val="1"/>
      <w:tblCellMar>
        <w:top w:w="100.0" w:type="dxa"/>
        <w:left w:w="100.0" w:type="dxa"/>
        <w:bottom w:w="100.0" w:type="dxa"/>
        <w:right w:w="100.0" w:type="dxa"/>
      </w:tblCellMar>
    </w:tblPr>
  </w:style>
  <w:style w:type="table" w:styleId="Table494">
    <w:basedOn w:val="TableNormal"/>
    <w:tblPr>
      <w:tblStyleRowBandSize w:val="1"/>
      <w:tblStyleColBandSize w:val="1"/>
      <w:tblCellMar>
        <w:top w:w="100.0" w:type="dxa"/>
        <w:left w:w="100.0" w:type="dxa"/>
        <w:bottom w:w="100.0" w:type="dxa"/>
        <w:right w:w="100.0" w:type="dxa"/>
      </w:tblCellMar>
    </w:tblPr>
  </w:style>
  <w:style w:type="table" w:styleId="Table495">
    <w:basedOn w:val="TableNormal"/>
    <w:tblPr>
      <w:tblStyleRowBandSize w:val="1"/>
      <w:tblStyleColBandSize w:val="1"/>
      <w:tblCellMar>
        <w:top w:w="100.0" w:type="dxa"/>
        <w:left w:w="100.0" w:type="dxa"/>
        <w:bottom w:w="100.0" w:type="dxa"/>
        <w:right w:w="100.0" w:type="dxa"/>
      </w:tblCellMar>
    </w:tblPr>
  </w:style>
  <w:style w:type="table" w:styleId="Table496">
    <w:basedOn w:val="TableNormal"/>
    <w:tblPr>
      <w:tblStyleRowBandSize w:val="1"/>
      <w:tblStyleColBandSize w:val="1"/>
      <w:tblCellMar>
        <w:top w:w="100.0" w:type="dxa"/>
        <w:left w:w="100.0" w:type="dxa"/>
        <w:bottom w:w="100.0" w:type="dxa"/>
        <w:right w:w="100.0" w:type="dxa"/>
      </w:tblCellMar>
    </w:tblPr>
  </w:style>
  <w:style w:type="table" w:styleId="Table497">
    <w:basedOn w:val="TableNormal"/>
    <w:tblPr>
      <w:tblStyleRowBandSize w:val="1"/>
      <w:tblStyleColBandSize w:val="1"/>
      <w:tblCellMar>
        <w:top w:w="100.0" w:type="dxa"/>
        <w:left w:w="100.0" w:type="dxa"/>
        <w:bottom w:w="100.0" w:type="dxa"/>
        <w:right w:w="100.0" w:type="dxa"/>
      </w:tblCellMar>
    </w:tblPr>
  </w:style>
  <w:style w:type="table" w:styleId="Table498">
    <w:basedOn w:val="TableNormal"/>
    <w:tblPr>
      <w:tblStyleRowBandSize w:val="1"/>
      <w:tblStyleColBandSize w:val="1"/>
      <w:tblCellMar>
        <w:top w:w="100.0" w:type="dxa"/>
        <w:left w:w="100.0" w:type="dxa"/>
        <w:bottom w:w="100.0" w:type="dxa"/>
        <w:right w:w="100.0" w:type="dxa"/>
      </w:tblCellMar>
    </w:tblPr>
  </w:style>
  <w:style w:type="table" w:styleId="Table499">
    <w:basedOn w:val="TableNormal"/>
    <w:tblPr>
      <w:tblStyleRowBandSize w:val="1"/>
      <w:tblStyleColBandSize w:val="1"/>
      <w:tblCellMar>
        <w:top w:w="100.0" w:type="dxa"/>
        <w:left w:w="100.0" w:type="dxa"/>
        <w:bottom w:w="100.0" w:type="dxa"/>
        <w:right w:w="100.0" w:type="dxa"/>
      </w:tblCellMar>
    </w:tblPr>
  </w:style>
  <w:style w:type="table" w:styleId="Table500">
    <w:basedOn w:val="TableNormal"/>
    <w:tblPr>
      <w:tblStyleRowBandSize w:val="1"/>
      <w:tblStyleColBandSize w:val="1"/>
      <w:tblCellMar>
        <w:top w:w="100.0" w:type="dxa"/>
        <w:left w:w="100.0" w:type="dxa"/>
        <w:bottom w:w="100.0" w:type="dxa"/>
        <w:right w:w="100.0" w:type="dxa"/>
      </w:tblCellMar>
    </w:tblPr>
  </w:style>
  <w:style w:type="table" w:styleId="Table501">
    <w:basedOn w:val="TableNormal"/>
    <w:tblPr>
      <w:tblStyleRowBandSize w:val="1"/>
      <w:tblStyleColBandSize w:val="1"/>
      <w:tblCellMar>
        <w:top w:w="100.0" w:type="dxa"/>
        <w:left w:w="100.0" w:type="dxa"/>
        <w:bottom w:w="100.0" w:type="dxa"/>
        <w:right w:w="100.0" w:type="dxa"/>
      </w:tblCellMar>
    </w:tblPr>
  </w:style>
  <w:style w:type="table" w:styleId="Table502">
    <w:basedOn w:val="TableNormal"/>
    <w:tblPr>
      <w:tblStyleRowBandSize w:val="1"/>
      <w:tblStyleColBandSize w:val="1"/>
      <w:tblCellMar>
        <w:top w:w="100.0" w:type="dxa"/>
        <w:left w:w="100.0" w:type="dxa"/>
        <w:bottom w:w="100.0" w:type="dxa"/>
        <w:right w:w="100.0" w:type="dxa"/>
      </w:tblCellMar>
    </w:tblPr>
  </w:style>
  <w:style w:type="table" w:styleId="Table503">
    <w:basedOn w:val="TableNormal"/>
    <w:tblPr>
      <w:tblStyleRowBandSize w:val="1"/>
      <w:tblStyleColBandSize w:val="1"/>
      <w:tblCellMar>
        <w:top w:w="100.0" w:type="dxa"/>
        <w:left w:w="100.0" w:type="dxa"/>
        <w:bottom w:w="100.0" w:type="dxa"/>
        <w:right w:w="100.0" w:type="dxa"/>
      </w:tblCellMar>
    </w:tblPr>
  </w:style>
  <w:style w:type="table" w:styleId="Table504">
    <w:basedOn w:val="TableNormal"/>
    <w:tblPr>
      <w:tblStyleRowBandSize w:val="1"/>
      <w:tblStyleColBandSize w:val="1"/>
      <w:tblCellMar>
        <w:top w:w="100.0" w:type="dxa"/>
        <w:left w:w="100.0" w:type="dxa"/>
        <w:bottom w:w="100.0" w:type="dxa"/>
        <w:right w:w="100.0" w:type="dxa"/>
      </w:tblCellMar>
    </w:tblPr>
  </w:style>
  <w:style w:type="table" w:styleId="Table505">
    <w:basedOn w:val="TableNormal"/>
    <w:tblPr>
      <w:tblStyleRowBandSize w:val="1"/>
      <w:tblStyleColBandSize w:val="1"/>
      <w:tblCellMar>
        <w:top w:w="100.0" w:type="dxa"/>
        <w:left w:w="100.0" w:type="dxa"/>
        <w:bottom w:w="100.0" w:type="dxa"/>
        <w:right w:w="100.0" w:type="dxa"/>
      </w:tblCellMar>
    </w:tblPr>
  </w:style>
  <w:style w:type="table" w:styleId="Table506">
    <w:basedOn w:val="TableNormal"/>
    <w:tblPr>
      <w:tblStyleRowBandSize w:val="1"/>
      <w:tblStyleColBandSize w:val="1"/>
      <w:tblCellMar>
        <w:top w:w="100.0" w:type="dxa"/>
        <w:left w:w="100.0" w:type="dxa"/>
        <w:bottom w:w="100.0" w:type="dxa"/>
        <w:right w:w="100.0" w:type="dxa"/>
      </w:tblCellMar>
    </w:tblPr>
  </w:style>
  <w:style w:type="table" w:styleId="Table507">
    <w:basedOn w:val="TableNormal"/>
    <w:tblPr>
      <w:tblStyleRowBandSize w:val="1"/>
      <w:tblStyleColBandSize w:val="1"/>
      <w:tblCellMar>
        <w:top w:w="100.0" w:type="dxa"/>
        <w:left w:w="100.0" w:type="dxa"/>
        <w:bottom w:w="100.0" w:type="dxa"/>
        <w:right w:w="100.0" w:type="dxa"/>
      </w:tblCellMar>
    </w:tblPr>
  </w:style>
  <w:style w:type="table" w:styleId="Table508">
    <w:basedOn w:val="TableNormal"/>
    <w:tblPr>
      <w:tblStyleRowBandSize w:val="1"/>
      <w:tblStyleColBandSize w:val="1"/>
      <w:tblCellMar>
        <w:top w:w="100.0" w:type="dxa"/>
        <w:left w:w="100.0" w:type="dxa"/>
        <w:bottom w:w="100.0" w:type="dxa"/>
        <w:right w:w="100.0" w:type="dxa"/>
      </w:tblCellMar>
    </w:tblPr>
  </w:style>
  <w:style w:type="table" w:styleId="Table509">
    <w:basedOn w:val="TableNormal"/>
    <w:tblPr>
      <w:tblStyleRowBandSize w:val="1"/>
      <w:tblStyleColBandSize w:val="1"/>
      <w:tblCellMar>
        <w:top w:w="100.0" w:type="dxa"/>
        <w:left w:w="100.0" w:type="dxa"/>
        <w:bottom w:w="100.0" w:type="dxa"/>
        <w:right w:w="100.0" w:type="dxa"/>
      </w:tblCellMar>
    </w:tblPr>
  </w:style>
  <w:style w:type="table" w:styleId="Table510">
    <w:basedOn w:val="TableNormal"/>
    <w:tblPr>
      <w:tblStyleRowBandSize w:val="1"/>
      <w:tblStyleColBandSize w:val="1"/>
      <w:tblCellMar>
        <w:top w:w="100.0" w:type="dxa"/>
        <w:left w:w="100.0" w:type="dxa"/>
        <w:bottom w:w="100.0" w:type="dxa"/>
        <w:right w:w="100.0" w:type="dxa"/>
      </w:tblCellMar>
    </w:tblPr>
  </w:style>
  <w:style w:type="table" w:styleId="Table511">
    <w:basedOn w:val="TableNormal"/>
    <w:tblPr>
      <w:tblStyleRowBandSize w:val="1"/>
      <w:tblStyleColBandSize w:val="1"/>
      <w:tblCellMar>
        <w:top w:w="100.0" w:type="dxa"/>
        <w:left w:w="100.0" w:type="dxa"/>
        <w:bottom w:w="100.0" w:type="dxa"/>
        <w:right w:w="100.0" w:type="dxa"/>
      </w:tblCellMar>
    </w:tblPr>
  </w:style>
  <w:style w:type="table" w:styleId="Table512">
    <w:basedOn w:val="TableNormal"/>
    <w:tblPr>
      <w:tblStyleRowBandSize w:val="1"/>
      <w:tblStyleColBandSize w:val="1"/>
      <w:tblCellMar>
        <w:top w:w="100.0" w:type="dxa"/>
        <w:left w:w="100.0" w:type="dxa"/>
        <w:bottom w:w="100.0" w:type="dxa"/>
        <w:right w:w="100.0" w:type="dxa"/>
      </w:tblCellMar>
    </w:tblPr>
  </w:style>
  <w:style w:type="table" w:styleId="Table513">
    <w:basedOn w:val="TableNormal"/>
    <w:tblPr>
      <w:tblStyleRowBandSize w:val="1"/>
      <w:tblStyleColBandSize w:val="1"/>
      <w:tblCellMar>
        <w:top w:w="100.0" w:type="dxa"/>
        <w:left w:w="100.0" w:type="dxa"/>
        <w:bottom w:w="100.0" w:type="dxa"/>
        <w:right w:w="100.0" w:type="dxa"/>
      </w:tblCellMar>
    </w:tblPr>
  </w:style>
  <w:style w:type="table" w:styleId="Table514">
    <w:basedOn w:val="TableNormal"/>
    <w:tblPr>
      <w:tblStyleRowBandSize w:val="1"/>
      <w:tblStyleColBandSize w:val="1"/>
      <w:tblCellMar>
        <w:top w:w="100.0" w:type="dxa"/>
        <w:left w:w="100.0" w:type="dxa"/>
        <w:bottom w:w="100.0" w:type="dxa"/>
        <w:right w:w="100.0" w:type="dxa"/>
      </w:tblCellMar>
    </w:tblPr>
  </w:style>
  <w:style w:type="table" w:styleId="Table515">
    <w:basedOn w:val="TableNormal"/>
    <w:tblPr>
      <w:tblStyleRowBandSize w:val="1"/>
      <w:tblStyleColBandSize w:val="1"/>
      <w:tblCellMar>
        <w:top w:w="100.0" w:type="dxa"/>
        <w:left w:w="100.0" w:type="dxa"/>
        <w:bottom w:w="100.0" w:type="dxa"/>
        <w:right w:w="100.0" w:type="dxa"/>
      </w:tblCellMar>
    </w:tblPr>
  </w:style>
  <w:style w:type="table" w:styleId="Table516">
    <w:basedOn w:val="TableNormal"/>
    <w:tblPr>
      <w:tblStyleRowBandSize w:val="1"/>
      <w:tblStyleColBandSize w:val="1"/>
      <w:tblCellMar>
        <w:top w:w="100.0" w:type="dxa"/>
        <w:left w:w="100.0" w:type="dxa"/>
        <w:bottom w:w="100.0" w:type="dxa"/>
        <w:right w:w="100.0" w:type="dxa"/>
      </w:tblCellMar>
    </w:tblPr>
  </w:style>
  <w:style w:type="table" w:styleId="Table517">
    <w:basedOn w:val="TableNormal"/>
    <w:tblPr>
      <w:tblStyleRowBandSize w:val="1"/>
      <w:tblStyleColBandSize w:val="1"/>
      <w:tblCellMar>
        <w:top w:w="100.0" w:type="dxa"/>
        <w:left w:w="100.0" w:type="dxa"/>
        <w:bottom w:w="100.0" w:type="dxa"/>
        <w:right w:w="100.0" w:type="dxa"/>
      </w:tblCellMar>
    </w:tblPr>
  </w:style>
  <w:style w:type="table" w:styleId="Table518">
    <w:basedOn w:val="TableNormal"/>
    <w:tblPr>
      <w:tblStyleRowBandSize w:val="1"/>
      <w:tblStyleColBandSize w:val="1"/>
      <w:tblCellMar>
        <w:top w:w="100.0" w:type="dxa"/>
        <w:left w:w="100.0" w:type="dxa"/>
        <w:bottom w:w="100.0" w:type="dxa"/>
        <w:right w:w="100.0" w:type="dxa"/>
      </w:tblCellMar>
    </w:tblPr>
  </w:style>
  <w:style w:type="table" w:styleId="Table519">
    <w:basedOn w:val="TableNormal"/>
    <w:tblPr>
      <w:tblStyleRowBandSize w:val="1"/>
      <w:tblStyleColBandSize w:val="1"/>
      <w:tblCellMar>
        <w:top w:w="100.0" w:type="dxa"/>
        <w:left w:w="100.0" w:type="dxa"/>
        <w:bottom w:w="100.0" w:type="dxa"/>
        <w:right w:w="100.0" w:type="dxa"/>
      </w:tblCellMar>
    </w:tblPr>
  </w:style>
  <w:style w:type="table" w:styleId="Table520">
    <w:basedOn w:val="TableNormal"/>
    <w:tblPr>
      <w:tblStyleRowBandSize w:val="1"/>
      <w:tblStyleColBandSize w:val="1"/>
      <w:tblCellMar>
        <w:top w:w="100.0" w:type="dxa"/>
        <w:left w:w="100.0" w:type="dxa"/>
        <w:bottom w:w="100.0" w:type="dxa"/>
        <w:right w:w="100.0" w:type="dxa"/>
      </w:tblCellMar>
    </w:tblPr>
  </w:style>
  <w:style w:type="table" w:styleId="Table521">
    <w:basedOn w:val="TableNormal"/>
    <w:tblPr>
      <w:tblStyleRowBandSize w:val="1"/>
      <w:tblStyleColBandSize w:val="1"/>
      <w:tblCellMar>
        <w:top w:w="100.0" w:type="dxa"/>
        <w:left w:w="100.0" w:type="dxa"/>
        <w:bottom w:w="100.0" w:type="dxa"/>
        <w:right w:w="100.0" w:type="dxa"/>
      </w:tblCellMar>
    </w:tblPr>
  </w:style>
  <w:style w:type="table" w:styleId="Table522">
    <w:basedOn w:val="TableNormal"/>
    <w:tblPr>
      <w:tblStyleRowBandSize w:val="1"/>
      <w:tblStyleColBandSize w:val="1"/>
      <w:tblCellMar>
        <w:top w:w="100.0" w:type="dxa"/>
        <w:left w:w="100.0" w:type="dxa"/>
        <w:bottom w:w="100.0" w:type="dxa"/>
        <w:right w:w="100.0" w:type="dxa"/>
      </w:tblCellMar>
    </w:tblPr>
  </w:style>
  <w:style w:type="table" w:styleId="Table523">
    <w:basedOn w:val="TableNormal"/>
    <w:tblPr>
      <w:tblStyleRowBandSize w:val="1"/>
      <w:tblStyleColBandSize w:val="1"/>
      <w:tblCellMar>
        <w:top w:w="100.0" w:type="dxa"/>
        <w:left w:w="100.0" w:type="dxa"/>
        <w:bottom w:w="100.0" w:type="dxa"/>
        <w:right w:w="100.0" w:type="dxa"/>
      </w:tblCellMar>
    </w:tblPr>
  </w:style>
  <w:style w:type="table" w:styleId="Table524">
    <w:basedOn w:val="TableNormal"/>
    <w:tblPr>
      <w:tblStyleRowBandSize w:val="1"/>
      <w:tblStyleColBandSize w:val="1"/>
      <w:tblCellMar>
        <w:top w:w="100.0" w:type="dxa"/>
        <w:left w:w="100.0" w:type="dxa"/>
        <w:bottom w:w="100.0" w:type="dxa"/>
        <w:right w:w="100.0" w:type="dxa"/>
      </w:tblCellMar>
    </w:tblPr>
  </w:style>
  <w:style w:type="table" w:styleId="Table525">
    <w:basedOn w:val="TableNormal"/>
    <w:tblPr>
      <w:tblStyleRowBandSize w:val="1"/>
      <w:tblStyleColBandSize w:val="1"/>
      <w:tblCellMar>
        <w:top w:w="100.0" w:type="dxa"/>
        <w:left w:w="100.0" w:type="dxa"/>
        <w:bottom w:w="100.0" w:type="dxa"/>
        <w:right w:w="100.0" w:type="dxa"/>
      </w:tblCellMar>
    </w:tblPr>
  </w:style>
  <w:style w:type="table" w:styleId="Table526">
    <w:basedOn w:val="TableNormal"/>
    <w:tblPr>
      <w:tblStyleRowBandSize w:val="1"/>
      <w:tblStyleColBandSize w:val="1"/>
      <w:tblCellMar>
        <w:top w:w="100.0" w:type="dxa"/>
        <w:left w:w="100.0" w:type="dxa"/>
        <w:bottom w:w="100.0" w:type="dxa"/>
        <w:right w:w="100.0" w:type="dxa"/>
      </w:tblCellMar>
    </w:tblPr>
  </w:style>
  <w:style w:type="table" w:styleId="Table527">
    <w:basedOn w:val="TableNormal"/>
    <w:tblPr>
      <w:tblStyleRowBandSize w:val="1"/>
      <w:tblStyleColBandSize w:val="1"/>
      <w:tblCellMar>
        <w:top w:w="100.0" w:type="dxa"/>
        <w:left w:w="100.0" w:type="dxa"/>
        <w:bottom w:w="100.0" w:type="dxa"/>
        <w:right w:w="100.0" w:type="dxa"/>
      </w:tblCellMar>
    </w:tblPr>
  </w:style>
  <w:style w:type="table" w:styleId="Table528">
    <w:basedOn w:val="TableNormal"/>
    <w:tblPr>
      <w:tblStyleRowBandSize w:val="1"/>
      <w:tblStyleColBandSize w:val="1"/>
      <w:tblCellMar>
        <w:top w:w="100.0" w:type="dxa"/>
        <w:left w:w="100.0" w:type="dxa"/>
        <w:bottom w:w="100.0" w:type="dxa"/>
        <w:right w:w="100.0" w:type="dxa"/>
      </w:tblCellMar>
    </w:tblPr>
  </w:style>
  <w:style w:type="table" w:styleId="Table529">
    <w:basedOn w:val="TableNormal"/>
    <w:tblPr>
      <w:tblStyleRowBandSize w:val="1"/>
      <w:tblStyleColBandSize w:val="1"/>
      <w:tblCellMar>
        <w:top w:w="100.0" w:type="dxa"/>
        <w:left w:w="100.0" w:type="dxa"/>
        <w:bottom w:w="100.0" w:type="dxa"/>
        <w:right w:w="100.0" w:type="dxa"/>
      </w:tblCellMar>
    </w:tblPr>
  </w:style>
  <w:style w:type="table" w:styleId="Table530">
    <w:basedOn w:val="TableNormal"/>
    <w:tblPr>
      <w:tblStyleRowBandSize w:val="1"/>
      <w:tblStyleColBandSize w:val="1"/>
      <w:tblCellMar>
        <w:top w:w="100.0" w:type="dxa"/>
        <w:left w:w="100.0" w:type="dxa"/>
        <w:bottom w:w="100.0" w:type="dxa"/>
        <w:right w:w="100.0" w:type="dxa"/>
      </w:tblCellMar>
    </w:tblPr>
  </w:style>
  <w:style w:type="table" w:styleId="Table531">
    <w:basedOn w:val="TableNormal"/>
    <w:tblPr>
      <w:tblStyleRowBandSize w:val="1"/>
      <w:tblStyleColBandSize w:val="1"/>
      <w:tblCellMar>
        <w:top w:w="100.0" w:type="dxa"/>
        <w:left w:w="100.0" w:type="dxa"/>
        <w:bottom w:w="100.0" w:type="dxa"/>
        <w:right w:w="100.0" w:type="dxa"/>
      </w:tblCellMar>
    </w:tblPr>
  </w:style>
  <w:style w:type="table" w:styleId="Table532">
    <w:basedOn w:val="TableNormal"/>
    <w:tblPr>
      <w:tblStyleRowBandSize w:val="1"/>
      <w:tblStyleColBandSize w:val="1"/>
      <w:tblCellMar>
        <w:top w:w="100.0" w:type="dxa"/>
        <w:left w:w="100.0" w:type="dxa"/>
        <w:bottom w:w="100.0" w:type="dxa"/>
        <w:right w:w="100.0" w:type="dxa"/>
      </w:tblCellMar>
    </w:tblPr>
  </w:style>
  <w:style w:type="table" w:styleId="Table533">
    <w:basedOn w:val="TableNormal"/>
    <w:tblPr>
      <w:tblStyleRowBandSize w:val="1"/>
      <w:tblStyleColBandSize w:val="1"/>
      <w:tblCellMar>
        <w:top w:w="100.0" w:type="dxa"/>
        <w:left w:w="100.0" w:type="dxa"/>
        <w:bottom w:w="100.0" w:type="dxa"/>
        <w:right w:w="100.0" w:type="dxa"/>
      </w:tblCellMar>
    </w:tblPr>
  </w:style>
  <w:style w:type="table" w:styleId="Table534">
    <w:basedOn w:val="TableNormal"/>
    <w:tblPr>
      <w:tblStyleRowBandSize w:val="1"/>
      <w:tblStyleColBandSize w:val="1"/>
      <w:tblCellMar>
        <w:top w:w="100.0" w:type="dxa"/>
        <w:left w:w="100.0" w:type="dxa"/>
        <w:bottom w:w="100.0" w:type="dxa"/>
        <w:right w:w="100.0" w:type="dxa"/>
      </w:tblCellMar>
    </w:tblPr>
  </w:style>
  <w:style w:type="table" w:styleId="Table535">
    <w:basedOn w:val="TableNormal"/>
    <w:tblPr>
      <w:tblStyleRowBandSize w:val="1"/>
      <w:tblStyleColBandSize w:val="1"/>
      <w:tblCellMar>
        <w:top w:w="100.0" w:type="dxa"/>
        <w:left w:w="100.0" w:type="dxa"/>
        <w:bottom w:w="100.0" w:type="dxa"/>
        <w:right w:w="100.0" w:type="dxa"/>
      </w:tblCellMar>
    </w:tblPr>
  </w:style>
  <w:style w:type="table" w:styleId="Table536">
    <w:basedOn w:val="TableNormal"/>
    <w:tblPr>
      <w:tblStyleRowBandSize w:val="1"/>
      <w:tblStyleColBandSize w:val="1"/>
      <w:tblCellMar>
        <w:top w:w="100.0" w:type="dxa"/>
        <w:left w:w="100.0" w:type="dxa"/>
        <w:bottom w:w="100.0" w:type="dxa"/>
        <w:right w:w="100.0" w:type="dxa"/>
      </w:tblCellMar>
    </w:tblPr>
  </w:style>
  <w:style w:type="table" w:styleId="Table537">
    <w:basedOn w:val="TableNormal"/>
    <w:tblPr>
      <w:tblStyleRowBandSize w:val="1"/>
      <w:tblStyleColBandSize w:val="1"/>
      <w:tblCellMar>
        <w:top w:w="100.0" w:type="dxa"/>
        <w:left w:w="100.0" w:type="dxa"/>
        <w:bottom w:w="100.0" w:type="dxa"/>
        <w:right w:w="100.0" w:type="dxa"/>
      </w:tblCellMar>
    </w:tblPr>
  </w:style>
  <w:style w:type="table" w:styleId="Table538">
    <w:basedOn w:val="TableNormal"/>
    <w:tblPr>
      <w:tblStyleRowBandSize w:val="1"/>
      <w:tblStyleColBandSize w:val="1"/>
      <w:tblCellMar>
        <w:top w:w="100.0" w:type="dxa"/>
        <w:left w:w="100.0" w:type="dxa"/>
        <w:bottom w:w="100.0" w:type="dxa"/>
        <w:right w:w="100.0" w:type="dxa"/>
      </w:tblCellMar>
    </w:tblPr>
  </w:style>
  <w:style w:type="table" w:styleId="Table539">
    <w:basedOn w:val="TableNormal"/>
    <w:tblPr>
      <w:tblStyleRowBandSize w:val="1"/>
      <w:tblStyleColBandSize w:val="1"/>
      <w:tblCellMar>
        <w:top w:w="100.0" w:type="dxa"/>
        <w:left w:w="100.0" w:type="dxa"/>
        <w:bottom w:w="100.0" w:type="dxa"/>
        <w:right w:w="100.0" w:type="dxa"/>
      </w:tblCellMar>
    </w:tblPr>
  </w:style>
  <w:style w:type="table" w:styleId="Table540">
    <w:basedOn w:val="TableNormal"/>
    <w:tblPr>
      <w:tblStyleRowBandSize w:val="1"/>
      <w:tblStyleColBandSize w:val="1"/>
      <w:tblCellMar>
        <w:top w:w="100.0" w:type="dxa"/>
        <w:left w:w="100.0" w:type="dxa"/>
        <w:bottom w:w="100.0" w:type="dxa"/>
        <w:right w:w="100.0" w:type="dxa"/>
      </w:tblCellMar>
    </w:tblPr>
  </w:style>
  <w:style w:type="table" w:styleId="Table541">
    <w:basedOn w:val="TableNormal"/>
    <w:tblPr>
      <w:tblStyleRowBandSize w:val="1"/>
      <w:tblStyleColBandSize w:val="1"/>
      <w:tblCellMar>
        <w:top w:w="100.0" w:type="dxa"/>
        <w:left w:w="100.0" w:type="dxa"/>
        <w:bottom w:w="100.0" w:type="dxa"/>
        <w:right w:w="100.0" w:type="dxa"/>
      </w:tblCellMar>
    </w:tblPr>
  </w:style>
  <w:style w:type="table" w:styleId="Table542">
    <w:basedOn w:val="TableNormal"/>
    <w:tblPr>
      <w:tblStyleRowBandSize w:val="1"/>
      <w:tblStyleColBandSize w:val="1"/>
      <w:tblCellMar>
        <w:top w:w="100.0" w:type="dxa"/>
        <w:left w:w="100.0" w:type="dxa"/>
        <w:bottom w:w="100.0" w:type="dxa"/>
        <w:right w:w="100.0" w:type="dxa"/>
      </w:tblCellMar>
    </w:tblPr>
  </w:style>
  <w:style w:type="table" w:styleId="Table543">
    <w:basedOn w:val="TableNormal"/>
    <w:tblPr>
      <w:tblStyleRowBandSize w:val="1"/>
      <w:tblStyleColBandSize w:val="1"/>
      <w:tblCellMar>
        <w:top w:w="100.0" w:type="dxa"/>
        <w:left w:w="100.0" w:type="dxa"/>
        <w:bottom w:w="100.0" w:type="dxa"/>
        <w:right w:w="100.0" w:type="dxa"/>
      </w:tblCellMar>
    </w:tblPr>
  </w:style>
  <w:style w:type="table" w:styleId="Table544">
    <w:basedOn w:val="TableNormal"/>
    <w:tblPr>
      <w:tblStyleRowBandSize w:val="1"/>
      <w:tblStyleColBandSize w:val="1"/>
      <w:tblCellMar>
        <w:top w:w="100.0" w:type="dxa"/>
        <w:left w:w="100.0" w:type="dxa"/>
        <w:bottom w:w="100.0" w:type="dxa"/>
        <w:right w:w="100.0" w:type="dxa"/>
      </w:tblCellMar>
    </w:tblPr>
  </w:style>
  <w:style w:type="table" w:styleId="Table545">
    <w:basedOn w:val="TableNormal"/>
    <w:tblPr>
      <w:tblStyleRowBandSize w:val="1"/>
      <w:tblStyleColBandSize w:val="1"/>
      <w:tblCellMar>
        <w:top w:w="100.0" w:type="dxa"/>
        <w:left w:w="100.0" w:type="dxa"/>
        <w:bottom w:w="100.0" w:type="dxa"/>
        <w:right w:w="100.0" w:type="dxa"/>
      </w:tblCellMar>
    </w:tblPr>
  </w:style>
  <w:style w:type="table" w:styleId="Table546">
    <w:basedOn w:val="TableNormal"/>
    <w:tblPr>
      <w:tblStyleRowBandSize w:val="1"/>
      <w:tblStyleColBandSize w:val="1"/>
      <w:tblCellMar>
        <w:top w:w="100.0" w:type="dxa"/>
        <w:left w:w="100.0" w:type="dxa"/>
        <w:bottom w:w="100.0" w:type="dxa"/>
        <w:right w:w="100.0" w:type="dxa"/>
      </w:tblCellMar>
    </w:tblPr>
  </w:style>
  <w:style w:type="table" w:styleId="Table547">
    <w:basedOn w:val="TableNormal"/>
    <w:tblPr>
      <w:tblStyleRowBandSize w:val="1"/>
      <w:tblStyleColBandSize w:val="1"/>
      <w:tblCellMar>
        <w:top w:w="100.0" w:type="dxa"/>
        <w:left w:w="100.0" w:type="dxa"/>
        <w:bottom w:w="100.0" w:type="dxa"/>
        <w:right w:w="100.0" w:type="dxa"/>
      </w:tblCellMar>
    </w:tblPr>
  </w:style>
  <w:style w:type="table" w:styleId="Table548">
    <w:basedOn w:val="TableNormal"/>
    <w:tblPr>
      <w:tblStyleRowBandSize w:val="1"/>
      <w:tblStyleColBandSize w:val="1"/>
      <w:tblCellMar>
        <w:top w:w="100.0" w:type="dxa"/>
        <w:left w:w="100.0" w:type="dxa"/>
        <w:bottom w:w="100.0" w:type="dxa"/>
        <w:right w:w="100.0" w:type="dxa"/>
      </w:tblCellMar>
    </w:tblPr>
  </w:style>
  <w:style w:type="table" w:styleId="Table549">
    <w:basedOn w:val="TableNormal"/>
    <w:tblPr>
      <w:tblStyleRowBandSize w:val="1"/>
      <w:tblStyleColBandSize w:val="1"/>
      <w:tblCellMar>
        <w:top w:w="100.0" w:type="dxa"/>
        <w:left w:w="100.0" w:type="dxa"/>
        <w:bottom w:w="100.0" w:type="dxa"/>
        <w:right w:w="100.0" w:type="dxa"/>
      </w:tblCellMar>
    </w:tblPr>
  </w:style>
  <w:style w:type="table" w:styleId="Table550">
    <w:basedOn w:val="TableNormal"/>
    <w:tblPr>
      <w:tblStyleRowBandSize w:val="1"/>
      <w:tblStyleColBandSize w:val="1"/>
      <w:tblCellMar>
        <w:top w:w="100.0" w:type="dxa"/>
        <w:left w:w="100.0" w:type="dxa"/>
        <w:bottom w:w="100.0" w:type="dxa"/>
        <w:right w:w="100.0" w:type="dxa"/>
      </w:tblCellMar>
    </w:tblPr>
  </w:style>
  <w:style w:type="table" w:styleId="Table551">
    <w:basedOn w:val="TableNormal"/>
    <w:tblPr>
      <w:tblStyleRowBandSize w:val="1"/>
      <w:tblStyleColBandSize w:val="1"/>
      <w:tblCellMar>
        <w:top w:w="100.0" w:type="dxa"/>
        <w:left w:w="100.0" w:type="dxa"/>
        <w:bottom w:w="100.0" w:type="dxa"/>
        <w:right w:w="100.0" w:type="dxa"/>
      </w:tblCellMar>
    </w:tblPr>
  </w:style>
  <w:style w:type="table" w:styleId="Table552">
    <w:basedOn w:val="TableNormal"/>
    <w:tblPr>
      <w:tblStyleRowBandSize w:val="1"/>
      <w:tblStyleColBandSize w:val="1"/>
      <w:tblCellMar>
        <w:top w:w="100.0" w:type="dxa"/>
        <w:left w:w="100.0" w:type="dxa"/>
        <w:bottom w:w="100.0" w:type="dxa"/>
        <w:right w:w="100.0" w:type="dxa"/>
      </w:tblCellMar>
    </w:tblPr>
  </w:style>
  <w:style w:type="table" w:styleId="Table553">
    <w:basedOn w:val="TableNormal"/>
    <w:tblPr>
      <w:tblStyleRowBandSize w:val="1"/>
      <w:tblStyleColBandSize w:val="1"/>
      <w:tblCellMar>
        <w:top w:w="100.0" w:type="dxa"/>
        <w:left w:w="100.0" w:type="dxa"/>
        <w:bottom w:w="100.0" w:type="dxa"/>
        <w:right w:w="100.0" w:type="dxa"/>
      </w:tblCellMar>
    </w:tblPr>
  </w:style>
  <w:style w:type="table" w:styleId="Table554">
    <w:basedOn w:val="TableNormal"/>
    <w:tblPr>
      <w:tblStyleRowBandSize w:val="1"/>
      <w:tblStyleColBandSize w:val="1"/>
      <w:tblCellMar>
        <w:top w:w="100.0" w:type="dxa"/>
        <w:left w:w="100.0" w:type="dxa"/>
        <w:bottom w:w="100.0" w:type="dxa"/>
        <w:right w:w="100.0" w:type="dxa"/>
      </w:tblCellMar>
    </w:tblPr>
  </w:style>
  <w:style w:type="table" w:styleId="Table555">
    <w:basedOn w:val="TableNormal"/>
    <w:tblPr>
      <w:tblStyleRowBandSize w:val="1"/>
      <w:tblStyleColBandSize w:val="1"/>
      <w:tblCellMar>
        <w:top w:w="100.0" w:type="dxa"/>
        <w:left w:w="100.0" w:type="dxa"/>
        <w:bottom w:w="100.0" w:type="dxa"/>
        <w:right w:w="100.0" w:type="dxa"/>
      </w:tblCellMar>
    </w:tblPr>
  </w:style>
  <w:style w:type="table" w:styleId="Table556">
    <w:basedOn w:val="TableNormal"/>
    <w:tblPr>
      <w:tblStyleRowBandSize w:val="1"/>
      <w:tblStyleColBandSize w:val="1"/>
      <w:tblCellMar>
        <w:top w:w="100.0" w:type="dxa"/>
        <w:left w:w="100.0" w:type="dxa"/>
        <w:bottom w:w="100.0" w:type="dxa"/>
        <w:right w:w="100.0" w:type="dxa"/>
      </w:tblCellMar>
    </w:tblPr>
  </w:style>
  <w:style w:type="table" w:styleId="Table557">
    <w:basedOn w:val="TableNormal"/>
    <w:tblPr>
      <w:tblStyleRowBandSize w:val="1"/>
      <w:tblStyleColBandSize w:val="1"/>
      <w:tblCellMar>
        <w:top w:w="100.0" w:type="dxa"/>
        <w:left w:w="100.0" w:type="dxa"/>
        <w:bottom w:w="100.0" w:type="dxa"/>
        <w:right w:w="100.0" w:type="dxa"/>
      </w:tblCellMar>
    </w:tblPr>
  </w:style>
  <w:style w:type="table" w:styleId="Table558">
    <w:basedOn w:val="TableNormal"/>
    <w:tblPr>
      <w:tblStyleRowBandSize w:val="1"/>
      <w:tblStyleColBandSize w:val="1"/>
      <w:tblCellMar>
        <w:top w:w="100.0" w:type="dxa"/>
        <w:left w:w="100.0" w:type="dxa"/>
        <w:bottom w:w="100.0" w:type="dxa"/>
        <w:right w:w="100.0" w:type="dxa"/>
      </w:tblCellMar>
    </w:tblPr>
  </w:style>
  <w:style w:type="table" w:styleId="Table559">
    <w:basedOn w:val="TableNormal"/>
    <w:tblPr>
      <w:tblStyleRowBandSize w:val="1"/>
      <w:tblStyleColBandSize w:val="1"/>
      <w:tblCellMar>
        <w:top w:w="100.0" w:type="dxa"/>
        <w:left w:w="100.0" w:type="dxa"/>
        <w:bottom w:w="100.0" w:type="dxa"/>
        <w:right w:w="100.0" w:type="dxa"/>
      </w:tblCellMar>
    </w:tblPr>
  </w:style>
  <w:style w:type="table" w:styleId="Table560">
    <w:basedOn w:val="TableNormal"/>
    <w:tblPr>
      <w:tblStyleRowBandSize w:val="1"/>
      <w:tblStyleColBandSize w:val="1"/>
      <w:tblCellMar>
        <w:top w:w="100.0" w:type="dxa"/>
        <w:left w:w="100.0" w:type="dxa"/>
        <w:bottom w:w="100.0" w:type="dxa"/>
        <w:right w:w="100.0" w:type="dxa"/>
      </w:tblCellMar>
    </w:tblPr>
  </w:style>
  <w:style w:type="table" w:styleId="Table561">
    <w:basedOn w:val="TableNormal"/>
    <w:tblPr>
      <w:tblStyleRowBandSize w:val="1"/>
      <w:tblStyleColBandSize w:val="1"/>
      <w:tblCellMar>
        <w:top w:w="100.0" w:type="dxa"/>
        <w:left w:w="100.0" w:type="dxa"/>
        <w:bottom w:w="100.0" w:type="dxa"/>
        <w:right w:w="100.0" w:type="dxa"/>
      </w:tblCellMar>
    </w:tblPr>
  </w:style>
  <w:style w:type="table" w:styleId="Table562">
    <w:basedOn w:val="TableNormal"/>
    <w:tblPr>
      <w:tblStyleRowBandSize w:val="1"/>
      <w:tblStyleColBandSize w:val="1"/>
      <w:tblCellMar>
        <w:top w:w="100.0" w:type="dxa"/>
        <w:left w:w="100.0" w:type="dxa"/>
        <w:bottom w:w="100.0" w:type="dxa"/>
        <w:right w:w="100.0" w:type="dxa"/>
      </w:tblCellMar>
    </w:tblPr>
  </w:style>
  <w:style w:type="table" w:styleId="Table563">
    <w:basedOn w:val="TableNormal"/>
    <w:tblPr>
      <w:tblStyleRowBandSize w:val="1"/>
      <w:tblStyleColBandSize w:val="1"/>
      <w:tblCellMar>
        <w:top w:w="100.0" w:type="dxa"/>
        <w:left w:w="100.0" w:type="dxa"/>
        <w:bottom w:w="100.0" w:type="dxa"/>
        <w:right w:w="100.0" w:type="dxa"/>
      </w:tblCellMar>
    </w:tblPr>
  </w:style>
  <w:style w:type="table" w:styleId="Table564">
    <w:basedOn w:val="TableNormal"/>
    <w:tblPr>
      <w:tblStyleRowBandSize w:val="1"/>
      <w:tblStyleColBandSize w:val="1"/>
      <w:tblCellMar>
        <w:top w:w="100.0" w:type="dxa"/>
        <w:left w:w="100.0" w:type="dxa"/>
        <w:bottom w:w="100.0" w:type="dxa"/>
        <w:right w:w="100.0" w:type="dxa"/>
      </w:tblCellMar>
    </w:tblPr>
  </w:style>
  <w:style w:type="table" w:styleId="Table565">
    <w:basedOn w:val="TableNormal"/>
    <w:tblPr>
      <w:tblStyleRowBandSize w:val="1"/>
      <w:tblStyleColBandSize w:val="1"/>
      <w:tblCellMar>
        <w:top w:w="100.0" w:type="dxa"/>
        <w:left w:w="100.0" w:type="dxa"/>
        <w:bottom w:w="100.0" w:type="dxa"/>
        <w:right w:w="100.0" w:type="dxa"/>
      </w:tblCellMar>
    </w:tblPr>
  </w:style>
  <w:style w:type="table" w:styleId="Table566">
    <w:basedOn w:val="TableNormal"/>
    <w:tblPr>
      <w:tblStyleRowBandSize w:val="1"/>
      <w:tblStyleColBandSize w:val="1"/>
      <w:tblCellMar>
        <w:top w:w="100.0" w:type="dxa"/>
        <w:left w:w="100.0" w:type="dxa"/>
        <w:bottom w:w="100.0" w:type="dxa"/>
        <w:right w:w="100.0" w:type="dxa"/>
      </w:tblCellMar>
    </w:tblPr>
  </w:style>
  <w:style w:type="table" w:styleId="Table567">
    <w:basedOn w:val="TableNormal"/>
    <w:tblPr>
      <w:tblStyleRowBandSize w:val="1"/>
      <w:tblStyleColBandSize w:val="1"/>
      <w:tblCellMar>
        <w:top w:w="100.0" w:type="dxa"/>
        <w:left w:w="100.0" w:type="dxa"/>
        <w:bottom w:w="100.0" w:type="dxa"/>
        <w:right w:w="100.0" w:type="dxa"/>
      </w:tblCellMar>
    </w:tblPr>
  </w:style>
  <w:style w:type="table" w:styleId="Table568">
    <w:basedOn w:val="TableNormal"/>
    <w:tblPr>
      <w:tblStyleRowBandSize w:val="1"/>
      <w:tblStyleColBandSize w:val="1"/>
      <w:tblCellMar>
        <w:top w:w="100.0" w:type="dxa"/>
        <w:left w:w="100.0" w:type="dxa"/>
        <w:bottom w:w="100.0" w:type="dxa"/>
        <w:right w:w="100.0" w:type="dxa"/>
      </w:tblCellMar>
    </w:tblPr>
  </w:style>
  <w:style w:type="table" w:styleId="Table569">
    <w:basedOn w:val="TableNormal"/>
    <w:tblPr>
      <w:tblStyleRowBandSize w:val="1"/>
      <w:tblStyleColBandSize w:val="1"/>
      <w:tblCellMar>
        <w:top w:w="100.0" w:type="dxa"/>
        <w:left w:w="100.0" w:type="dxa"/>
        <w:bottom w:w="100.0" w:type="dxa"/>
        <w:right w:w="100.0" w:type="dxa"/>
      </w:tblCellMar>
    </w:tblPr>
  </w:style>
  <w:style w:type="table" w:styleId="Table570">
    <w:basedOn w:val="TableNormal"/>
    <w:tblPr>
      <w:tblStyleRowBandSize w:val="1"/>
      <w:tblStyleColBandSize w:val="1"/>
      <w:tblCellMar>
        <w:top w:w="100.0" w:type="dxa"/>
        <w:left w:w="100.0" w:type="dxa"/>
        <w:bottom w:w="100.0" w:type="dxa"/>
        <w:right w:w="100.0" w:type="dxa"/>
      </w:tblCellMar>
    </w:tblPr>
  </w:style>
  <w:style w:type="table" w:styleId="Table571">
    <w:basedOn w:val="TableNormal"/>
    <w:tblPr>
      <w:tblStyleRowBandSize w:val="1"/>
      <w:tblStyleColBandSize w:val="1"/>
      <w:tblCellMar>
        <w:top w:w="100.0" w:type="dxa"/>
        <w:left w:w="100.0" w:type="dxa"/>
        <w:bottom w:w="100.0" w:type="dxa"/>
        <w:right w:w="100.0" w:type="dxa"/>
      </w:tblCellMar>
    </w:tblPr>
  </w:style>
  <w:style w:type="table" w:styleId="Table572">
    <w:basedOn w:val="TableNormal"/>
    <w:tblPr>
      <w:tblStyleRowBandSize w:val="1"/>
      <w:tblStyleColBandSize w:val="1"/>
      <w:tblCellMar>
        <w:top w:w="100.0" w:type="dxa"/>
        <w:left w:w="100.0" w:type="dxa"/>
        <w:bottom w:w="100.0" w:type="dxa"/>
        <w:right w:w="100.0" w:type="dxa"/>
      </w:tblCellMar>
    </w:tblPr>
  </w:style>
  <w:style w:type="table" w:styleId="Table573">
    <w:basedOn w:val="TableNormal"/>
    <w:tblPr>
      <w:tblStyleRowBandSize w:val="1"/>
      <w:tblStyleColBandSize w:val="1"/>
      <w:tblCellMar>
        <w:top w:w="100.0" w:type="dxa"/>
        <w:left w:w="100.0" w:type="dxa"/>
        <w:bottom w:w="100.0" w:type="dxa"/>
        <w:right w:w="100.0" w:type="dxa"/>
      </w:tblCellMar>
    </w:tblPr>
  </w:style>
  <w:style w:type="table" w:styleId="Table574">
    <w:basedOn w:val="TableNormal"/>
    <w:tblPr>
      <w:tblStyleRowBandSize w:val="1"/>
      <w:tblStyleColBandSize w:val="1"/>
      <w:tblCellMar>
        <w:top w:w="100.0" w:type="dxa"/>
        <w:left w:w="100.0" w:type="dxa"/>
        <w:bottom w:w="100.0" w:type="dxa"/>
        <w:right w:w="100.0" w:type="dxa"/>
      </w:tblCellMar>
    </w:tblPr>
  </w:style>
  <w:style w:type="table" w:styleId="Table575">
    <w:basedOn w:val="TableNormal"/>
    <w:tblPr>
      <w:tblStyleRowBandSize w:val="1"/>
      <w:tblStyleColBandSize w:val="1"/>
      <w:tblCellMar>
        <w:top w:w="100.0" w:type="dxa"/>
        <w:left w:w="100.0" w:type="dxa"/>
        <w:bottom w:w="100.0" w:type="dxa"/>
        <w:right w:w="100.0" w:type="dxa"/>
      </w:tblCellMar>
    </w:tblPr>
  </w:style>
  <w:style w:type="table" w:styleId="Table576">
    <w:basedOn w:val="TableNormal"/>
    <w:tblPr>
      <w:tblStyleRowBandSize w:val="1"/>
      <w:tblStyleColBandSize w:val="1"/>
      <w:tblCellMar>
        <w:top w:w="100.0" w:type="dxa"/>
        <w:left w:w="100.0" w:type="dxa"/>
        <w:bottom w:w="100.0" w:type="dxa"/>
        <w:right w:w="100.0" w:type="dxa"/>
      </w:tblCellMar>
    </w:tblPr>
  </w:style>
  <w:style w:type="table" w:styleId="Table577">
    <w:basedOn w:val="TableNormal"/>
    <w:tblPr>
      <w:tblStyleRowBandSize w:val="1"/>
      <w:tblStyleColBandSize w:val="1"/>
      <w:tblCellMar>
        <w:top w:w="100.0" w:type="dxa"/>
        <w:left w:w="100.0" w:type="dxa"/>
        <w:bottom w:w="100.0" w:type="dxa"/>
        <w:right w:w="100.0" w:type="dxa"/>
      </w:tblCellMar>
    </w:tblPr>
  </w:style>
  <w:style w:type="table" w:styleId="Table578">
    <w:basedOn w:val="TableNormal"/>
    <w:tblPr>
      <w:tblStyleRowBandSize w:val="1"/>
      <w:tblStyleColBandSize w:val="1"/>
      <w:tblCellMar>
        <w:top w:w="100.0" w:type="dxa"/>
        <w:left w:w="100.0" w:type="dxa"/>
        <w:bottom w:w="100.0" w:type="dxa"/>
        <w:right w:w="100.0" w:type="dxa"/>
      </w:tblCellMar>
    </w:tblPr>
  </w:style>
  <w:style w:type="table" w:styleId="Table579">
    <w:basedOn w:val="TableNormal"/>
    <w:tblPr>
      <w:tblStyleRowBandSize w:val="1"/>
      <w:tblStyleColBandSize w:val="1"/>
      <w:tblCellMar>
        <w:top w:w="100.0" w:type="dxa"/>
        <w:left w:w="100.0" w:type="dxa"/>
        <w:bottom w:w="100.0" w:type="dxa"/>
        <w:right w:w="100.0" w:type="dxa"/>
      </w:tblCellMar>
    </w:tblPr>
  </w:style>
  <w:style w:type="table" w:styleId="Table580">
    <w:basedOn w:val="TableNormal"/>
    <w:tblPr>
      <w:tblStyleRowBandSize w:val="1"/>
      <w:tblStyleColBandSize w:val="1"/>
      <w:tblCellMar>
        <w:top w:w="100.0" w:type="dxa"/>
        <w:left w:w="100.0" w:type="dxa"/>
        <w:bottom w:w="100.0" w:type="dxa"/>
        <w:right w:w="100.0" w:type="dxa"/>
      </w:tblCellMar>
    </w:tblPr>
  </w:style>
  <w:style w:type="table" w:styleId="Table581">
    <w:basedOn w:val="TableNormal"/>
    <w:tblPr>
      <w:tblStyleRowBandSize w:val="1"/>
      <w:tblStyleColBandSize w:val="1"/>
      <w:tblCellMar>
        <w:top w:w="100.0" w:type="dxa"/>
        <w:left w:w="100.0" w:type="dxa"/>
        <w:bottom w:w="100.0" w:type="dxa"/>
        <w:right w:w="100.0" w:type="dxa"/>
      </w:tblCellMar>
    </w:tblPr>
  </w:style>
  <w:style w:type="table" w:styleId="Table582">
    <w:basedOn w:val="TableNormal"/>
    <w:tblPr>
      <w:tblStyleRowBandSize w:val="1"/>
      <w:tblStyleColBandSize w:val="1"/>
      <w:tblCellMar>
        <w:top w:w="100.0" w:type="dxa"/>
        <w:left w:w="100.0" w:type="dxa"/>
        <w:bottom w:w="100.0" w:type="dxa"/>
        <w:right w:w="100.0" w:type="dxa"/>
      </w:tblCellMar>
    </w:tblPr>
  </w:style>
  <w:style w:type="table" w:styleId="Table583">
    <w:basedOn w:val="TableNormal"/>
    <w:tblPr>
      <w:tblStyleRowBandSize w:val="1"/>
      <w:tblStyleColBandSize w:val="1"/>
      <w:tblCellMar>
        <w:top w:w="100.0" w:type="dxa"/>
        <w:left w:w="100.0" w:type="dxa"/>
        <w:bottom w:w="100.0" w:type="dxa"/>
        <w:right w:w="100.0" w:type="dxa"/>
      </w:tblCellMar>
    </w:tblPr>
  </w:style>
  <w:style w:type="table" w:styleId="Table584">
    <w:basedOn w:val="TableNormal"/>
    <w:tblPr>
      <w:tblStyleRowBandSize w:val="1"/>
      <w:tblStyleColBandSize w:val="1"/>
      <w:tblCellMar>
        <w:top w:w="100.0" w:type="dxa"/>
        <w:left w:w="100.0" w:type="dxa"/>
        <w:bottom w:w="100.0" w:type="dxa"/>
        <w:right w:w="100.0" w:type="dxa"/>
      </w:tblCellMar>
    </w:tblPr>
  </w:style>
  <w:style w:type="table" w:styleId="Table585">
    <w:basedOn w:val="TableNormal"/>
    <w:tblPr>
      <w:tblStyleRowBandSize w:val="1"/>
      <w:tblStyleColBandSize w:val="1"/>
      <w:tblCellMar>
        <w:top w:w="100.0" w:type="dxa"/>
        <w:left w:w="100.0" w:type="dxa"/>
        <w:bottom w:w="100.0" w:type="dxa"/>
        <w:right w:w="100.0" w:type="dxa"/>
      </w:tblCellMar>
    </w:tblPr>
  </w:style>
  <w:style w:type="table" w:styleId="Table586">
    <w:basedOn w:val="TableNormal"/>
    <w:tblPr>
      <w:tblStyleRowBandSize w:val="1"/>
      <w:tblStyleColBandSize w:val="1"/>
      <w:tblCellMar>
        <w:top w:w="100.0" w:type="dxa"/>
        <w:left w:w="100.0" w:type="dxa"/>
        <w:bottom w:w="100.0" w:type="dxa"/>
        <w:right w:w="100.0" w:type="dxa"/>
      </w:tblCellMar>
    </w:tblPr>
  </w:style>
  <w:style w:type="table" w:styleId="Table587">
    <w:basedOn w:val="TableNormal"/>
    <w:tblPr>
      <w:tblStyleRowBandSize w:val="1"/>
      <w:tblStyleColBandSize w:val="1"/>
      <w:tblCellMar>
        <w:top w:w="100.0" w:type="dxa"/>
        <w:left w:w="100.0" w:type="dxa"/>
        <w:bottom w:w="100.0" w:type="dxa"/>
        <w:right w:w="100.0" w:type="dxa"/>
      </w:tblCellMar>
    </w:tblPr>
  </w:style>
  <w:style w:type="table" w:styleId="Table588">
    <w:basedOn w:val="TableNormal"/>
    <w:tblPr>
      <w:tblStyleRowBandSize w:val="1"/>
      <w:tblStyleColBandSize w:val="1"/>
      <w:tblCellMar>
        <w:top w:w="100.0" w:type="dxa"/>
        <w:left w:w="100.0" w:type="dxa"/>
        <w:bottom w:w="100.0" w:type="dxa"/>
        <w:right w:w="100.0" w:type="dxa"/>
      </w:tblCellMar>
    </w:tblPr>
  </w:style>
  <w:style w:type="table" w:styleId="Table589">
    <w:basedOn w:val="TableNormal"/>
    <w:tblPr>
      <w:tblStyleRowBandSize w:val="1"/>
      <w:tblStyleColBandSize w:val="1"/>
      <w:tblCellMar>
        <w:top w:w="100.0" w:type="dxa"/>
        <w:left w:w="100.0" w:type="dxa"/>
        <w:bottom w:w="100.0" w:type="dxa"/>
        <w:right w:w="100.0" w:type="dxa"/>
      </w:tblCellMar>
    </w:tblPr>
  </w:style>
  <w:style w:type="table" w:styleId="Table590">
    <w:basedOn w:val="TableNormal"/>
    <w:tblPr>
      <w:tblStyleRowBandSize w:val="1"/>
      <w:tblStyleColBandSize w:val="1"/>
      <w:tblCellMar>
        <w:top w:w="100.0" w:type="dxa"/>
        <w:left w:w="100.0" w:type="dxa"/>
        <w:bottom w:w="100.0" w:type="dxa"/>
        <w:right w:w="100.0" w:type="dxa"/>
      </w:tblCellMar>
    </w:tblPr>
  </w:style>
  <w:style w:type="table" w:styleId="Table591">
    <w:basedOn w:val="TableNormal"/>
    <w:tblPr>
      <w:tblStyleRowBandSize w:val="1"/>
      <w:tblStyleColBandSize w:val="1"/>
      <w:tblCellMar>
        <w:top w:w="100.0" w:type="dxa"/>
        <w:left w:w="100.0" w:type="dxa"/>
        <w:bottom w:w="100.0" w:type="dxa"/>
        <w:right w:w="100.0" w:type="dxa"/>
      </w:tblCellMar>
    </w:tblPr>
  </w:style>
  <w:style w:type="table" w:styleId="Table592">
    <w:basedOn w:val="TableNormal"/>
    <w:tblPr>
      <w:tblStyleRowBandSize w:val="1"/>
      <w:tblStyleColBandSize w:val="1"/>
      <w:tblCellMar>
        <w:top w:w="100.0" w:type="dxa"/>
        <w:left w:w="100.0" w:type="dxa"/>
        <w:bottom w:w="100.0" w:type="dxa"/>
        <w:right w:w="100.0" w:type="dxa"/>
      </w:tblCellMar>
    </w:tblPr>
  </w:style>
  <w:style w:type="table" w:styleId="Table593">
    <w:basedOn w:val="TableNormal"/>
    <w:tblPr>
      <w:tblStyleRowBandSize w:val="1"/>
      <w:tblStyleColBandSize w:val="1"/>
      <w:tblCellMar>
        <w:top w:w="100.0" w:type="dxa"/>
        <w:left w:w="100.0" w:type="dxa"/>
        <w:bottom w:w="100.0" w:type="dxa"/>
        <w:right w:w="100.0" w:type="dxa"/>
      </w:tblCellMar>
    </w:tblPr>
  </w:style>
  <w:style w:type="table" w:styleId="Table594">
    <w:basedOn w:val="TableNormal"/>
    <w:tblPr>
      <w:tblStyleRowBandSize w:val="1"/>
      <w:tblStyleColBandSize w:val="1"/>
      <w:tblCellMar>
        <w:top w:w="100.0" w:type="dxa"/>
        <w:left w:w="100.0" w:type="dxa"/>
        <w:bottom w:w="100.0" w:type="dxa"/>
        <w:right w:w="100.0" w:type="dxa"/>
      </w:tblCellMar>
    </w:tblPr>
  </w:style>
  <w:style w:type="table" w:styleId="Table595">
    <w:basedOn w:val="TableNormal"/>
    <w:tblPr>
      <w:tblStyleRowBandSize w:val="1"/>
      <w:tblStyleColBandSize w:val="1"/>
      <w:tblCellMar>
        <w:top w:w="100.0" w:type="dxa"/>
        <w:left w:w="100.0" w:type="dxa"/>
        <w:bottom w:w="100.0" w:type="dxa"/>
        <w:right w:w="100.0" w:type="dxa"/>
      </w:tblCellMar>
    </w:tblPr>
  </w:style>
  <w:style w:type="table" w:styleId="Table596">
    <w:basedOn w:val="TableNormal"/>
    <w:tblPr>
      <w:tblStyleRowBandSize w:val="1"/>
      <w:tblStyleColBandSize w:val="1"/>
      <w:tblCellMar>
        <w:top w:w="100.0" w:type="dxa"/>
        <w:left w:w="100.0" w:type="dxa"/>
        <w:bottom w:w="100.0" w:type="dxa"/>
        <w:right w:w="100.0" w:type="dxa"/>
      </w:tblCellMar>
    </w:tblPr>
  </w:style>
  <w:style w:type="table" w:styleId="Table597">
    <w:basedOn w:val="TableNormal"/>
    <w:tblPr>
      <w:tblStyleRowBandSize w:val="1"/>
      <w:tblStyleColBandSize w:val="1"/>
      <w:tblCellMar>
        <w:top w:w="100.0" w:type="dxa"/>
        <w:left w:w="100.0" w:type="dxa"/>
        <w:bottom w:w="100.0" w:type="dxa"/>
        <w:right w:w="100.0" w:type="dxa"/>
      </w:tblCellMar>
    </w:tblPr>
  </w:style>
  <w:style w:type="table" w:styleId="Table598">
    <w:basedOn w:val="TableNormal"/>
    <w:tblPr>
      <w:tblStyleRowBandSize w:val="1"/>
      <w:tblStyleColBandSize w:val="1"/>
      <w:tblCellMar>
        <w:top w:w="100.0" w:type="dxa"/>
        <w:left w:w="100.0" w:type="dxa"/>
        <w:bottom w:w="100.0" w:type="dxa"/>
        <w:right w:w="100.0" w:type="dxa"/>
      </w:tblCellMar>
    </w:tblPr>
  </w:style>
  <w:style w:type="table" w:styleId="Table599">
    <w:basedOn w:val="TableNormal"/>
    <w:tblPr>
      <w:tblStyleRowBandSize w:val="1"/>
      <w:tblStyleColBandSize w:val="1"/>
      <w:tblCellMar>
        <w:top w:w="100.0" w:type="dxa"/>
        <w:left w:w="100.0" w:type="dxa"/>
        <w:bottom w:w="100.0" w:type="dxa"/>
        <w:right w:w="100.0" w:type="dxa"/>
      </w:tblCellMar>
    </w:tblPr>
  </w:style>
  <w:style w:type="table" w:styleId="Table600">
    <w:basedOn w:val="TableNormal"/>
    <w:tblPr>
      <w:tblStyleRowBandSize w:val="1"/>
      <w:tblStyleColBandSize w:val="1"/>
      <w:tblCellMar>
        <w:top w:w="100.0" w:type="dxa"/>
        <w:left w:w="100.0" w:type="dxa"/>
        <w:bottom w:w="100.0" w:type="dxa"/>
        <w:right w:w="100.0" w:type="dxa"/>
      </w:tblCellMar>
    </w:tblPr>
  </w:style>
  <w:style w:type="table" w:styleId="Table601">
    <w:basedOn w:val="TableNormal"/>
    <w:tblPr>
      <w:tblStyleRowBandSize w:val="1"/>
      <w:tblStyleColBandSize w:val="1"/>
      <w:tblCellMar>
        <w:top w:w="100.0" w:type="dxa"/>
        <w:left w:w="100.0" w:type="dxa"/>
        <w:bottom w:w="100.0" w:type="dxa"/>
        <w:right w:w="100.0" w:type="dxa"/>
      </w:tblCellMar>
    </w:tblPr>
  </w:style>
  <w:style w:type="table" w:styleId="Table602">
    <w:basedOn w:val="TableNormal"/>
    <w:tblPr>
      <w:tblStyleRowBandSize w:val="1"/>
      <w:tblStyleColBandSize w:val="1"/>
      <w:tblCellMar>
        <w:top w:w="100.0" w:type="dxa"/>
        <w:left w:w="100.0" w:type="dxa"/>
        <w:bottom w:w="100.0" w:type="dxa"/>
        <w:right w:w="100.0" w:type="dxa"/>
      </w:tblCellMar>
    </w:tblPr>
  </w:style>
  <w:style w:type="table" w:styleId="Table603">
    <w:basedOn w:val="TableNormal"/>
    <w:tblPr>
      <w:tblStyleRowBandSize w:val="1"/>
      <w:tblStyleColBandSize w:val="1"/>
      <w:tblCellMar>
        <w:top w:w="100.0" w:type="dxa"/>
        <w:left w:w="100.0" w:type="dxa"/>
        <w:bottom w:w="100.0" w:type="dxa"/>
        <w:right w:w="100.0" w:type="dxa"/>
      </w:tblCellMar>
    </w:tblPr>
  </w:style>
  <w:style w:type="table" w:styleId="Table604">
    <w:basedOn w:val="TableNormal"/>
    <w:tblPr>
      <w:tblStyleRowBandSize w:val="1"/>
      <w:tblStyleColBandSize w:val="1"/>
      <w:tblCellMar>
        <w:top w:w="100.0" w:type="dxa"/>
        <w:left w:w="100.0" w:type="dxa"/>
        <w:bottom w:w="100.0" w:type="dxa"/>
        <w:right w:w="100.0" w:type="dxa"/>
      </w:tblCellMar>
    </w:tblPr>
  </w:style>
  <w:style w:type="table" w:styleId="Table605">
    <w:basedOn w:val="TableNormal"/>
    <w:tblPr>
      <w:tblStyleRowBandSize w:val="1"/>
      <w:tblStyleColBandSize w:val="1"/>
      <w:tblCellMar>
        <w:top w:w="100.0" w:type="dxa"/>
        <w:left w:w="100.0" w:type="dxa"/>
        <w:bottom w:w="100.0" w:type="dxa"/>
        <w:right w:w="100.0" w:type="dxa"/>
      </w:tblCellMar>
    </w:tblPr>
  </w:style>
  <w:style w:type="table" w:styleId="Table606">
    <w:basedOn w:val="TableNormal"/>
    <w:tblPr>
      <w:tblStyleRowBandSize w:val="1"/>
      <w:tblStyleColBandSize w:val="1"/>
      <w:tblCellMar>
        <w:top w:w="100.0" w:type="dxa"/>
        <w:left w:w="100.0" w:type="dxa"/>
        <w:bottom w:w="100.0" w:type="dxa"/>
        <w:right w:w="100.0" w:type="dxa"/>
      </w:tblCellMar>
    </w:tblPr>
  </w:style>
  <w:style w:type="table" w:styleId="Table607">
    <w:basedOn w:val="TableNormal"/>
    <w:tblPr>
      <w:tblStyleRowBandSize w:val="1"/>
      <w:tblStyleColBandSize w:val="1"/>
      <w:tblCellMar>
        <w:top w:w="100.0" w:type="dxa"/>
        <w:left w:w="100.0" w:type="dxa"/>
        <w:bottom w:w="100.0" w:type="dxa"/>
        <w:right w:w="100.0" w:type="dxa"/>
      </w:tblCellMar>
    </w:tblPr>
  </w:style>
  <w:style w:type="table" w:styleId="Table608">
    <w:basedOn w:val="TableNormal"/>
    <w:tblPr>
      <w:tblStyleRowBandSize w:val="1"/>
      <w:tblStyleColBandSize w:val="1"/>
      <w:tblCellMar>
        <w:top w:w="100.0" w:type="dxa"/>
        <w:left w:w="100.0" w:type="dxa"/>
        <w:bottom w:w="100.0" w:type="dxa"/>
        <w:right w:w="100.0" w:type="dxa"/>
      </w:tblCellMar>
    </w:tblPr>
  </w:style>
  <w:style w:type="table" w:styleId="Table609">
    <w:basedOn w:val="TableNormal"/>
    <w:tblPr>
      <w:tblStyleRowBandSize w:val="1"/>
      <w:tblStyleColBandSize w:val="1"/>
      <w:tblCellMar>
        <w:top w:w="100.0" w:type="dxa"/>
        <w:left w:w="100.0" w:type="dxa"/>
        <w:bottom w:w="100.0" w:type="dxa"/>
        <w:right w:w="100.0" w:type="dxa"/>
      </w:tblCellMar>
    </w:tblPr>
  </w:style>
  <w:style w:type="table" w:styleId="Table610">
    <w:basedOn w:val="TableNormal"/>
    <w:tblPr>
      <w:tblStyleRowBandSize w:val="1"/>
      <w:tblStyleColBandSize w:val="1"/>
      <w:tblCellMar>
        <w:top w:w="100.0" w:type="dxa"/>
        <w:left w:w="100.0" w:type="dxa"/>
        <w:bottom w:w="100.0" w:type="dxa"/>
        <w:right w:w="100.0" w:type="dxa"/>
      </w:tblCellMar>
    </w:tblPr>
  </w:style>
  <w:style w:type="table" w:styleId="Table611">
    <w:basedOn w:val="TableNormal"/>
    <w:tblPr>
      <w:tblStyleRowBandSize w:val="1"/>
      <w:tblStyleColBandSize w:val="1"/>
      <w:tblCellMar>
        <w:top w:w="100.0" w:type="dxa"/>
        <w:left w:w="100.0" w:type="dxa"/>
        <w:bottom w:w="100.0" w:type="dxa"/>
        <w:right w:w="100.0" w:type="dxa"/>
      </w:tblCellMar>
    </w:tblPr>
  </w:style>
  <w:style w:type="table" w:styleId="Table612">
    <w:basedOn w:val="TableNormal"/>
    <w:tblPr>
      <w:tblStyleRowBandSize w:val="1"/>
      <w:tblStyleColBandSize w:val="1"/>
      <w:tblCellMar>
        <w:top w:w="100.0" w:type="dxa"/>
        <w:left w:w="100.0" w:type="dxa"/>
        <w:bottom w:w="100.0" w:type="dxa"/>
        <w:right w:w="100.0" w:type="dxa"/>
      </w:tblCellMar>
    </w:tblPr>
  </w:style>
  <w:style w:type="table" w:styleId="Table613">
    <w:basedOn w:val="TableNormal"/>
    <w:tblPr>
      <w:tblStyleRowBandSize w:val="1"/>
      <w:tblStyleColBandSize w:val="1"/>
      <w:tblCellMar>
        <w:top w:w="100.0" w:type="dxa"/>
        <w:left w:w="100.0" w:type="dxa"/>
        <w:bottom w:w="100.0" w:type="dxa"/>
        <w:right w:w="100.0" w:type="dxa"/>
      </w:tblCellMar>
    </w:tblPr>
  </w:style>
  <w:style w:type="table" w:styleId="Table614">
    <w:basedOn w:val="TableNormal"/>
    <w:tblPr>
      <w:tblStyleRowBandSize w:val="1"/>
      <w:tblStyleColBandSize w:val="1"/>
      <w:tblCellMar>
        <w:top w:w="100.0" w:type="dxa"/>
        <w:left w:w="100.0" w:type="dxa"/>
        <w:bottom w:w="100.0" w:type="dxa"/>
        <w:right w:w="100.0" w:type="dxa"/>
      </w:tblCellMar>
    </w:tblPr>
  </w:style>
  <w:style w:type="table" w:styleId="Table615">
    <w:basedOn w:val="TableNormal"/>
    <w:tblPr>
      <w:tblStyleRowBandSize w:val="1"/>
      <w:tblStyleColBandSize w:val="1"/>
      <w:tblCellMar>
        <w:top w:w="100.0" w:type="dxa"/>
        <w:left w:w="100.0" w:type="dxa"/>
        <w:bottom w:w="100.0" w:type="dxa"/>
        <w:right w:w="100.0" w:type="dxa"/>
      </w:tblCellMar>
    </w:tblPr>
  </w:style>
  <w:style w:type="table" w:styleId="Table616">
    <w:basedOn w:val="TableNormal"/>
    <w:tblPr>
      <w:tblStyleRowBandSize w:val="1"/>
      <w:tblStyleColBandSize w:val="1"/>
      <w:tblCellMar>
        <w:top w:w="100.0" w:type="dxa"/>
        <w:left w:w="100.0" w:type="dxa"/>
        <w:bottom w:w="100.0" w:type="dxa"/>
        <w:right w:w="100.0" w:type="dxa"/>
      </w:tblCellMar>
    </w:tblPr>
  </w:style>
  <w:style w:type="table" w:styleId="Table617">
    <w:basedOn w:val="TableNormal"/>
    <w:tblPr>
      <w:tblStyleRowBandSize w:val="1"/>
      <w:tblStyleColBandSize w:val="1"/>
      <w:tblCellMar>
        <w:top w:w="100.0" w:type="dxa"/>
        <w:left w:w="100.0" w:type="dxa"/>
        <w:bottom w:w="100.0" w:type="dxa"/>
        <w:right w:w="100.0" w:type="dxa"/>
      </w:tblCellMar>
    </w:tblPr>
  </w:style>
  <w:style w:type="table" w:styleId="Table618">
    <w:basedOn w:val="TableNormal"/>
    <w:tblPr>
      <w:tblStyleRowBandSize w:val="1"/>
      <w:tblStyleColBandSize w:val="1"/>
      <w:tblCellMar>
        <w:top w:w="100.0" w:type="dxa"/>
        <w:left w:w="100.0" w:type="dxa"/>
        <w:bottom w:w="100.0" w:type="dxa"/>
        <w:right w:w="100.0" w:type="dxa"/>
      </w:tblCellMar>
    </w:tblPr>
  </w:style>
  <w:style w:type="table" w:styleId="Table619">
    <w:basedOn w:val="TableNormal"/>
    <w:tblPr>
      <w:tblStyleRowBandSize w:val="1"/>
      <w:tblStyleColBandSize w:val="1"/>
      <w:tblCellMar>
        <w:top w:w="100.0" w:type="dxa"/>
        <w:left w:w="100.0" w:type="dxa"/>
        <w:bottom w:w="100.0" w:type="dxa"/>
        <w:right w:w="100.0" w:type="dxa"/>
      </w:tblCellMar>
    </w:tblPr>
  </w:style>
  <w:style w:type="table" w:styleId="Table620">
    <w:basedOn w:val="TableNormal"/>
    <w:tblPr>
      <w:tblStyleRowBandSize w:val="1"/>
      <w:tblStyleColBandSize w:val="1"/>
      <w:tblCellMar>
        <w:top w:w="100.0" w:type="dxa"/>
        <w:left w:w="100.0" w:type="dxa"/>
        <w:bottom w:w="100.0" w:type="dxa"/>
        <w:right w:w="100.0" w:type="dxa"/>
      </w:tblCellMar>
    </w:tblPr>
  </w:style>
  <w:style w:type="table" w:styleId="Table621">
    <w:basedOn w:val="TableNormal"/>
    <w:tblPr>
      <w:tblStyleRowBandSize w:val="1"/>
      <w:tblStyleColBandSize w:val="1"/>
      <w:tblCellMar>
        <w:top w:w="100.0" w:type="dxa"/>
        <w:left w:w="100.0" w:type="dxa"/>
        <w:bottom w:w="100.0" w:type="dxa"/>
        <w:right w:w="100.0" w:type="dxa"/>
      </w:tblCellMar>
    </w:tblPr>
  </w:style>
  <w:style w:type="table" w:styleId="Table622">
    <w:basedOn w:val="TableNormal"/>
    <w:tblPr>
      <w:tblStyleRowBandSize w:val="1"/>
      <w:tblStyleColBandSize w:val="1"/>
      <w:tblCellMar>
        <w:top w:w="100.0" w:type="dxa"/>
        <w:left w:w="100.0" w:type="dxa"/>
        <w:bottom w:w="100.0" w:type="dxa"/>
        <w:right w:w="100.0" w:type="dxa"/>
      </w:tblCellMar>
    </w:tblPr>
  </w:style>
  <w:style w:type="table" w:styleId="Table623">
    <w:basedOn w:val="TableNormal"/>
    <w:tblPr>
      <w:tblStyleRowBandSize w:val="1"/>
      <w:tblStyleColBandSize w:val="1"/>
      <w:tblCellMar>
        <w:top w:w="100.0" w:type="dxa"/>
        <w:left w:w="100.0" w:type="dxa"/>
        <w:bottom w:w="100.0" w:type="dxa"/>
        <w:right w:w="100.0" w:type="dxa"/>
      </w:tblCellMar>
    </w:tblPr>
  </w:style>
  <w:style w:type="table" w:styleId="Table624">
    <w:basedOn w:val="TableNormal"/>
    <w:tblPr>
      <w:tblStyleRowBandSize w:val="1"/>
      <w:tblStyleColBandSize w:val="1"/>
      <w:tblCellMar>
        <w:top w:w="100.0" w:type="dxa"/>
        <w:left w:w="100.0" w:type="dxa"/>
        <w:bottom w:w="100.0" w:type="dxa"/>
        <w:right w:w="100.0" w:type="dxa"/>
      </w:tblCellMar>
    </w:tblPr>
  </w:style>
  <w:style w:type="table" w:styleId="Table625">
    <w:basedOn w:val="TableNormal"/>
    <w:tblPr>
      <w:tblStyleRowBandSize w:val="1"/>
      <w:tblStyleColBandSize w:val="1"/>
      <w:tblCellMar>
        <w:top w:w="100.0" w:type="dxa"/>
        <w:left w:w="100.0" w:type="dxa"/>
        <w:bottom w:w="100.0" w:type="dxa"/>
        <w:right w:w="100.0" w:type="dxa"/>
      </w:tblCellMar>
    </w:tblPr>
  </w:style>
  <w:style w:type="table" w:styleId="Table626">
    <w:basedOn w:val="TableNormal"/>
    <w:tblPr>
      <w:tblStyleRowBandSize w:val="1"/>
      <w:tblStyleColBandSize w:val="1"/>
      <w:tblCellMar>
        <w:top w:w="100.0" w:type="dxa"/>
        <w:left w:w="100.0" w:type="dxa"/>
        <w:bottom w:w="100.0" w:type="dxa"/>
        <w:right w:w="100.0" w:type="dxa"/>
      </w:tblCellMar>
    </w:tblPr>
  </w:style>
  <w:style w:type="table" w:styleId="Table627">
    <w:basedOn w:val="TableNormal"/>
    <w:tblPr>
      <w:tblStyleRowBandSize w:val="1"/>
      <w:tblStyleColBandSize w:val="1"/>
      <w:tblCellMar>
        <w:top w:w="100.0" w:type="dxa"/>
        <w:left w:w="100.0" w:type="dxa"/>
        <w:bottom w:w="100.0" w:type="dxa"/>
        <w:right w:w="100.0" w:type="dxa"/>
      </w:tblCellMar>
    </w:tblPr>
  </w:style>
  <w:style w:type="table" w:styleId="Table628">
    <w:basedOn w:val="TableNormal"/>
    <w:tblPr>
      <w:tblStyleRowBandSize w:val="1"/>
      <w:tblStyleColBandSize w:val="1"/>
      <w:tblCellMar>
        <w:top w:w="100.0" w:type="dxa"/>
        <w:left w:w="100.0" w:type="dxa"/>
        <w:bottom w:w="100.0" w:type="dxa"/>
        <w:right w:w="100.0" w:type="dxa"/>
      </w:tblCellMar>
    </w:tblPr>
  </w:style>
  <w:style w:type="table" w:styleId="Table629">
    <w:basedOn w:val="TableNormal"/>
    <w:tblPr>
      <w:tblStyleRowBandSize w:val="1"/>
      <w:tblStyleColBandSize w:val="1"/>
      <w:tblCellMar>
        <w:top w:w="100.0" w:type="dxa"/>
        <w:left w:w="100.0" w:type="dxa"/>
        <w:bottom w:w="100.0" w:type="dxa"/>
        <w:right w:w="100.0" w:type="dxa"/>
      </w:tblCellMar>
    </w:tblPr>
  </w:style>
  <w:style w:type="table" w:styleId="Table630">
    <w:basedOn w:val="TableNormal"/>
    <w:tblPr>
      <w:tblStyleRowBandSize w:val="1"/>
      <w:tblStyleColBandSize w:val="1"/>
      <w:tblCellMar>
        <w:top w:w="100.0" w:type="dxa"/>
        <w:left w:w="100.0" w:type="dxa"/>
        <w:bottom w:w="100.0" w:type="dxa"/>
        <w:right w:w="100.0" w:type="dxa"/>
      </w:tblCellMar>
    </w:tblPr>
  </w:style>
  <w:style w:type="table" w:styleId="Table631">
    <w:basedOn w:val="TableNormal"/>
    <w:tblPr>
      <w:tblStyleRowBandSize w:val="1"/>
      <w:tblStyleColBandSize w:val="1"/>
      <w:tblCellMar>
        <w:top w:w="100.0" w:type="dxa"/>
        <w:left w:w="100.0" w:type="dxa"/>
        <w:bottom w:w="100.0" w:type="dxa"/>
        <w:right w:w="100.0" w:type="dxa"/>
      </w:tblCellMar>
    </w:tblPr>
  </w:style>
  <w:style w:type="table" w:styleId="Table632">
    <w:basedOn w:val="TableNormal"/>
    <w:tblPr>
      <w:tblStyleRowBandSize w:val="1"/>
      <w:tblStyleColBandSize w:val="1"/>
      <w:tblCellMar>
        <w:top w:w="100.0" w:type="dxa"/>
        <w:left w:w="100.0" w:type="dxa"/>
        <w:bottom w:w="100.0" w:type="dxa"/>
        <w:right w:w="100.0" w:type="dxa"/>
      </w:tblCellMar>
    </w:tblPr>
  </w:style>
  <w:style w:type="table" w:styleId="Table633">
    <w:basedOn w:val="TableNormal"/>
    <w:tblPr>
      <w:tblStyleRowBandSize w:val="1"/>
      <w:tblStyleColBandSize w:val="1"/>
      <w:tblCellMar>
        <w:top w:w="100.0" w:type="dxa"/>
        <w:left w:w="100.0" w:type="dxa"/>
        <w:bottom w:w="100.0" w:type="dxa"/>
        <w:right w:w="100.0" w:type="dxa"/>
      </w:tblCellMar>
    </w:tblPr>
  </w:style>
  <w:style w:type="table" w:styleId="Table634">
    <w:basedOn w:val="TableNormal"/>
    <w:tblPr>
      <w:tblStyleRowBandSize w:val="1"/>
      <w:tblStyleColBandSize w:val="1"/>
      <w:tblCellMar>
        <w:top w:w="100.0" w:type="dxa"/>
        <w:left w:w="100.0" w:type="dxa"/>
        <w:bottom w:w="100.0" w:type="dxa"/>
        <w:right w:w="100.0" w:type="dxa"/>
      </w:tblCellMar>
    </w:tblPr>
  </w:style>
  <w:style w:type="table" w:styleId="Table635">
    <w:basedOn w:val="TableNormal"/>
    <w:tblPr>
      <w:tblStyleRowBandSize w:val="1"/>
      <w:tblStyleColBandSize w:val="1"/>
      <w:tblCellMar>
        <w:top w:w="100.0" w:type="dxa"/>
        <w:left w:w="100.0" w:type="dxa"/>
        <w:bottom w:w="100.0" w:type="dxa"/>
        <w:right w:w="100.0" w:type="dxa"/>
      </w:tblCellMar>
    </w:tblPr>
  </w:style>
  <w:style w:type="table" w:styleId="Table636">
    <w:basedOn w:val="TableNormal"/>
    <w:tblPr>
      <w:tblStyleRowBandSize w:val="1"/>
      <w:tblStyleColBandSize w:val="1"/>
      <w:tblCellMar>
        <w:top w:w="100.0" w:type="dxa"/>
        <w:left w:w="100.0" w:type="dxa"/>
        <w:bottom w:w="100.0" w:type="dxa"/>
        <w:right w:w="100.0" w:type="dxa"/>
      </w:tblCellMar>
    </w:tblPr>
  </w:style>
  <w:style w:type="table" w:styleId="Table637">
    <w:basedOn w:val="TableNormal"/>
    <w:tblPr>
      <w:tblStyleRowBandSize w:val="1"/>
      <w:tblStyleColBandSize w:val="1"/>
      <w:tblCellMar>
        <w:top w:w="100.0" w:type="dxa"/>
        <w:left w:w="100.0" w:type="dxa"/>
        <w:bottom w:w="100.0" w:type="dxa"/>
        <w:right w:w="100.0" w:type="dxa"/>
      </w:tblCellMar>
    </w:tblPr>
  </w:style>
  <w:style w:type="table" w:styleId="Table638">
    <w:basedOn w:val="TableNormal"/>
    <w:tblPr>
      <w:tblStyleRowBandSize w:val="1"/>
      <w:tblStyleColBandSize w:val="1"/>
      <w:tblCellMar>
        <w:top w:w="100.0" w:type="dxa"/>
        <w:left w:w="100.0" w:type="dxa"/>
        <w:bottom w:w="100.0" w:type="dxa"/>
        <w:right w:w="100.0" w:type="dxa"/>
      </w:tblCellMar>
    </w:tblPr>
  </w:style>
  <w:style w:type="table" w:styleId="Table639">
    <w:basedOn w:val="TableNormal"/>
    <w:tblPr>
      <w:tblStyleRowBandSize w:val="1"/>
      <w:tblStyleColBandSize w:val="1"/>
      <w:tblCellMar>
        <w:top w:w="100.0" w:type="dxa"/>
        <w:left w:w="100.0" w:type="dxa"/>
        <w:bottom w:w="100.0" w:type="dxa"/>
        <w:right w:w="100.0" w:type="dxa"/>
      </w:tblCellMar>
    </w:tblPr>
  </w:style>
  <w:style w:type="table" w:styleId="Table640">
    <w:basedOn w:val="TableNormal"/>
    <w:tblPr>
      <w:tblStyleRowBandSize w:val="1"/>
      <w:tblStyleColBandSize w:val="1"/>
      <w:tblCellMar>
        <w:top w:w="100.0" w:type="dxa"/>
        <w:left w:w="100.0" w:type="dxa"/>
        <w:bottom w:w="100.0" w:type="dxa"/>
        <w:right w:w="100.0" w:type="dxa"/>
      </w:tblCellMar>
    </w:tblPr>
  </w:style>
  <w:style w:type="table" w:styleId="Table641">
    <w:basedOn w:val="TableNormal"/>
    <w:tblPr>
      <w:tblStyleRowBandSize w:val="1"/>
      <w:tblStyleColBandSize w:val="1"/>
      <w:tblCellMar>
        <w:top w:w="100.0" w:type="dxa"/>
        <w:left w:w="100.0" w:type="dxa"/>
        <w:bottom w:w="100.0" w:type="dxa"/>
        <w:right w:w="100.0" w:type="dxa"/>
      </w:tblCellMar>
    </w:tblPr>
  </w:style>
  <w:style w:type="table" w:styleId="Table642">
    <w:basedOn w:val="TableNormal"/>
    <w:tblPr>
      <w:tblStyleRowBandSize w:val="1"/>
      <w:tblStyleColBandSize w:val="1"/>
      <w:tblCellMar>
        <w:top w:w="100.0" w:type="dxa"/>
        <w:left w:w="100.0" w:type="dxa"/>
        <w:bottom w:w="100.0" w:type="dxa"/>
        <w:right w:w="100.0" w:type="dxa"/>
      </w:tblCellMar>
    </w:tblPr>
  </w:style>
  <w:style w:type="table" w:styleId="Table643">
    <w:basedOn w:val="TableNormal"/>
    <w:tblPr>
      <w:tblStyleRowBandSize w:val="1"/>
      <w:tblStyleColBandSize w:val="1"/>
      <w:tblCellMar>
        <w:top w:w="100.0" w:type="dxa"/>
        <w:left w:w="100.0" w:type="dxa"/>
        <w:bottom w:w="100.0" w:type="dxa"/>
        <w:right w:w="100.0" w:type="dxa"/>
      </w:tblCellMar>
    </w:tblPr>
  </w:style>
  <w:style w:type="table" w:styleId="Table644">
    <w:basedOn w:val="TableNormal"/>
    <w:tblPr>
      <w:tblStyleRowBandSize w:val="1"/>
      <w:tblStyleColBandSize w:val="1"/>
      <w:tblCellMar>
        <w:top w:w="100.0" w:type="dxa"/>
        <w:left w:w="100.0" w:type="dxa"/>
        <w:bottom w:w="100.0" w:type="dxa"/>
        <w:right w:w="100.0" w:type="dxa"/>
      </w:tblCellMar>
    </w:tblPr>
  </w:style>
  <w:style w:type="table" w:styleId="Table645">
    <w:basedOn w:val="TableNormal"/>
    <w:tblPr>
      <w:tblStyleRowBandSize w:val="1"/>
      <w:tblStyleColBandSize w:val="1"/>
      <w:tblCellMar>
        <w:top w:w="100.0" w:type="dxa"/>
        <w:left w:w="100.0" w:type="dxa"/>
        <w:bottom w:w="100.0" w:type="dxa"/>
        <w:right w:w="100.0" w:type="dxa"/>
      </w:tblCellMar>
    </w:tblPr>
  </w:style>
  <w:style w:type="table" w:styleId="Table646">
    <w:basedOn w:val="TableNormal"/>
    <w:tblPr>
      <w:tblStyleRowBandSize w:val="1"/>
      <w:tblStyleColBandSize w:val="1"/>
      <w:tblCellMar>
        <w:top w:w="100.0" w:type="dxa"/>
        <w:left w:w="100.0" w:type="dxa"/>
        <w:bottom w:w="100.0" w:type="dxa"/>
        <w:right w:w="100.0" w:type="dxa"/>
      </w:tblCellMar>
    </w:tblPr>
  </w:style>
  <w:style w:type="table" w:styleId="Table647">
    <w:basedOn w:val="TableNormal"/>
    <w:tblPr>
      <w:tblStyleRowBandSize w:val="1"/>
      <w:tblStyleColBandSize w:val="1"/>
      <w:tblCellMar>
        <w:top w:w="100.0" w:type="dxa"/>
        <w:left w:w="100.0" w:type="dxa"/>
        <w:bottom w:w="100.0" w:type="dxa"/>
        <w:right w:w="100.0" w:type="dxa"/>
      </w:tblCellMar>
    </w:tblPr>
  </w:style>
  <w:style w:type="table" w:styleId="Table648">
    <w:basedOn w:val="TableNormal"/>
    <w:tblPr>
      <w:tblStyleRowBandSize w:val="1"/>
      <w:tblStyleColBandSize w:val="1"/>
      <w:tblCellMar>
        <w:top w:w="100.0" w:type="dxa"/>
        <w:left w:w="100.0" w:type="dxa"/>
        <w:bottom w:w="100.0" w:type="dxa"/>
        <w:right w:w="100.0" w:type="dxa"/>
      </w:tblCellMar>
    </w:tblPr>
  </w:style>
  <w:style w:type="table" w:styleId="Table649">
    <w:basedOn w:val="TableNormal"/>
    <w:tblPr>
      <w:tblStyleRowBandSize w:val="1"/>
      <w:tblStyleColBandSize w:val="1"/>
      <w:tblCellMar>
        <w:top w:w="100.0" w:type="dxa"/>
        <w:left w:w="100.0" w:type="dxa"/>
        <w:bottom w:w="100.0" w:type="dxa"/>
        <w:right w:w="100.0" w:type="dxa"/>
      </w:tblCellMar>
    </w:tblPr>
  </w:style>
  <w:style w:type="table" w:styleId="Table650">
    <w:basedOn w:val="TableNormal"/>
    <w:tblPr>
      <w:tblStyleRowBandSize w:val="1"/>
      <w:tblStyleColBandSize w:val="1"/>
      <w:tblCellMar>
        <w:top w:w="100.0" w:type="dxa"/>
        <w:left w:w="100.0" w:type="dxa"/>
        <w:bottom w:w="100.0" w:type="dxa"/>
        <w:right w:w="100.0" w:type="dxa"/>
      </w:tblCellMar>
    </w:tblPr>
  </w:style>
  <w:style w:type="table" w:styleId="Table651">
    <w:basedOn w:val="TableNormal"/>
    <w:tblPr>
      <w:tblStyleRowBandSize w:val="1"/>
      <w:tblStyleColBandSize w:val="1"/>
      <w:tblCellMar>
        <w:top w:w="100.0" w:type="dxa"/>
        <w:left w:w="100.0" w:type="dxa"/>
        <w:bottom w:w="100.0" w:type="dxa"/>
        <w:right w:w="100.0" w:type="dxa"/>
      </w:tblCellMar>
    </w:tblPr>
  </w:style>
  <w:style w:type="table" w:styleId="Table652">
    <w:basedOn w:val="TableNormal"/>
    <w:tblPr>
      <w:tblStyleRowBandSize w:val="1"/>
      <w:tblStyleColBandSize w:val="1"/>
      <w:tblCellMar>
        <w:top w:w="100.0" w:type="dxa"/>
        <w:left w:w="100.0" w:type="dxa"/>
        <w:bottom w:w="100.0" w:type="dxa"/>
        <w:right w:w="100.0" w:type="dxa"/>
      </w:tblCellMar>
    </w:tblPr>
  </w:style>
  <w:style w:type="table" w:styleId="Table653">
    <w:basedOn w:val="TableNormal"/>
    <w:tblPr>
      <w:tblStyleRowBandSize w:val="1"/>
      <w:tblStyleColBandSize w:val="1"/>
      <w:tblCellMar>
        <w:top w:w="100.0" w:type="dxa"/>
        <w:left w:w="100.0" w:type="dxa"/>
        <w:bottom w:w="100.0" w:type="dxa"/>
        <w:right w:w="100.0" w:type="dxa"/>
      </w:tblCellMar>
    </w:tblPr>
  </w:style>
  <w:style w:type="table" w:styleId="Table654">
    <w:basedOn w:val="TableNormal"/>
    <w:tblPr>
      <w:tblStyleRowBandSize w:val="1"/>
      <w:tblStyleColBandSize w:val="1"/>
      <w:tblCellMar>
        <w:top w:w="100.0" w:type="dxa"/>
        <w:left w:w="100.0" w:type="dxa"/>
        <w:bottom w:w="100.0" w:type="dxa"/>
        <w:right w:w="100.0" w:type="dxa"/>
      </w:tblCellMar>
    </w:tblPr>
  </w:style>
  <w:style w:type="table" w:styleId="Table655">
    <w:basedOn w:val="TableNormal"/>
    <w:tblPr>
      <w:tblStyleRowBandSize w:val="1"/>
      <w:tblStyleColBandSize w:val="1"/>
      <w:tblCellMar>
        <w:top w:w="100.0" w:type="dxa"/>
        <w:left w:w="100.0" w:type="dxa"/>
        <w:bottom w:w="100.0" w:type="dxa"/>
        <w:right w:w="100.0" w:type="dxa"/>
      </w:tblCellMar>
    </w:tblPr>
  </w:style>
  <w:style w:type="table" w:styleId="Table656">
    <w:basedOn w:val="TableNormal"/>
    <w:tblPr>
      <w:tblStyleRowBandSize w:val="1"/>
      <w:tblStyleColBandSize w:val="1"/>
      <w:tblCellMar>
        <w:top w:w="100.0" w:type="dxa"/>
        <w:left w:w="100.0" w:type="dxa"/>
        <w:bottom w:w="100.0" w:type="dxa"/>
        <w:right w:w="100.0" w:type="dxa"/>
      </w:tblCellMar>
    </w:tblPr>
  </w:style>
  <w:style w:type="table" w:styleId="Table657">
    <w:basedOn w:val="TableNormal"/>
    <w:tblPr>
      <w:tblStyleRowBandSize w:val="1"/>
      <w:tblStyleColBandSize w:val="1"/>
      <w:tblCellMar>
        <w:top w:w="100.0" w:type="dxa"/>
        <w:left w:w="100.0" w:type="dxa"/>
        <w:bottom w:w="100.0" w:type="dxa"/>
        <w:right w:w="100.0" w:type="dxa"/>
      </w:tblCellMar>
    </w:tblPr>
  </w:style>
  <w:style w:type="table" w:styleId="Table658">
    <w:basedOn w:val="TableNormal"/>
    <w:tblPr>
      <w:tblStyleRowBandSize w:val="1"/>
      <w:tblStyleColBandSize w:val="1"/>
      <w:tblCellMar>
        <w:top w:w="100.0" w:type="dxa"/>
        <w:left w:w="100.0" w:type="dxa"/>
        <w:bottom w:w="100.0" w:type="dxa"/>
        <w:right w:w="100.0" w:type="dxa"/>
      </w:tblCellMar>
    </w:tblPr>
  </w:style>
  <w:style w:type="table" w:styleId="Table659">
    <w:basedOn w:val="TableNormal"/>
    <w:tblPr>
      <w:tblStyleRowBandSize w:val="1"/>
      <w:tblStyleColBandSize w:val="1"/>
      <w:tblCellMar>
        <w:top w:w="100.0" w:type="dxa"/>
        <w:left w:w="100.0" w:type="dxa"/>
        <w:bottom w:w="100.0" w:type="dxa"/>
        <w:right w:w="100.0" w:type="dxa"/>
      </w:tblCellMar>
    </w:tblPr>
  </w:style>
  <w:style w:type="table" w:styleId="Table660">
    <w:basedOn w:val="TableNormal"/>
    <w:tblPr>
      <w:tblStyleRowBandSize w:val="1"/>
      <w:tblStyleColBandSize w:val="1"/>
      <w:tblCellMar>
        <w:top w:w="100.0" w:type="dxa"/>
        <w:left w:w="100.0" w:type="dxa"/>
        <w:bottom w:w="100.0" w:type="dxa"/>
        <w:right w:w="100.0" w:type="dxa"/>
      </w:tblCellMar>
    </w:tblPr>
  </w:style>
  <w:style w:type="table" w:styleId="Table661">
    <w:basedOn w:val="TableNormal"/>
    <w:tblPr>
      <w:tblStyleRowBandSize w:val="1"/>
      <w:tblStyleColBandSize w:val="1"/>
      <w:tblCellMar>
        <w:top w:w="100.0" w:type="dxa"/>
        <w:left w:w="100.0" w:type="dxa"/>
        <w:bottom w:w="100.0" w:type="dxa"/>
        <w:right w:w="100.0" w:type="dxa"/>
      </w:tblCellMar>
    </w:tblPr>
  </w:style>
  <w:style w:type="table" w:styleId="Table662">
    <w:basedOn w:val="TableNormal"/>
    <w:tblPr>
      <w:tblStyleRowBandSize w:val="1"/>
      <w:tblStyleColBandSize w:val="1"/>
      <w:tblCellMar>
        <w:top w:w="100.0" w:type="dxa"/>
        <w:left w:w="100.0" w:type="dxa"/>
        <w:bottom w:w="100.0" w:type="dxa"/>
        <w:right w:w="100.0" w:type="dxa"/>
      </w:tblCellMar>
    </w:tblPr>
  </w:style>
  <w:style w:type="table" w:styleId="Table663">
    <w:basedOn w:val="TableNormal"/>
    <w:tblPr>
      <w:tblStyleRowBandSize w:val="1"/>
      <w:tblStyleColBandSize w:val="1"/>
      <w:tblCellMar>
        <w:top w:w="100.0" w:type="dxa"/>
        <w:left w:w="100.0" w:type="dxa"/>
        <w:bottom w:w="100.0" w:type="dxa"/>
        <w:right w:w="100.0" w:type="dxa"/>
      </w:tblCellMar>
    </w:tblPr>
  </w:style>
  <w:style w:type="table" w:styleId="Table664">
    <w:basedOn w:val="TableNormal"/>
    <w:tblPr>
      <w:tblStyleRowBandSize w:val="1"/>
      <w:tblStyleColBandSize w:val="1"/>
      <w:tblCellMar>
        <w:top w:w="100.0" w:type="dxa"/>
        <w:left w:w="100.0" w:type="dxa"/>
        <w:bottom w:w="100.0" w:type="dxa"/>
        <w:right w:w="100.0" w:type="dxa"/>
      </w:tblCellMar>
    </w:tblPr>
  </w:style>
  <w:style w:type="table" w:styleId="Table665">
    <w:basedOn w:val="TableNormal"/>
    <w:tblPr>
      <w:tblStyleRowBandSize w:val="1"/>
      <w:tblStyleColBandSize w:val="1"/>
      <w:tblCellMar>
        <w:top w:w="100.0" w:type="dxa"/>
        <w:left w:w="100.0" w:type="dxa"/>
        <w:bottom w:w="100.0" w:type="dxa"/>
        <w:right w:w="100.0" w:type="dxa"/>
      </w:tblCellMar>
    </w:tblPr>
  </w:style>
  <w:style w:type="table" w:styleId="Table666">
    <w:basedOn w:val="TableNormal"/>
    <w:tblPr>
      <w:tblStyleRowBandSize w:val="1"/>
      <w:tblStyleColBandSize w:val="1"/>
      <w:tblCellMar>
        <w:top w:w="100.0" w:type="dxa"/>
        <w:left w:w="100.0" w:type="dxa"/>
        <w:bottom w:w="100.0" w:type="dxa"/>
        <w:right w:w="100.0" w:type="dxa"/>
      </w:tblCellMar>
    </w:tblPr>
  </w:style>
  <w:style w:type="table" w:styleId="Table667">
    <w:basedOn w:val="TableNormal"/>
    <w:tblPr>
      <w:tblStyleRowBandSize w:val="1"/>
      <w:tblStyleColBandSize w:val="1"/>
      <w:tblCellMar>
        <w:top w:w="100.0" w:type="dxa"/>
        <w:left w:w="100.0" w:type="dxa"/>
        <w:bottom w:w="100.0" w:type="dxa"/>
        <w:right w:w="100.0" w:type="dxa"/>
      </w:tblCellMar>
    </w:tblPr>
  </w:style>
  <w:style w:type="table" w:styleId="Table66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